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97" w:rsidRPr="00593D91" w:rsidRDefault="00593D91" w:rsidP="00593D91">
      <w:pPr>
        <w:jc w:val="center"/>
        <w:rPr>
          <w:b/>
          <w:sz w:val="28"/>
        </w:rPr>
      </w:pPr>
      <w:r w:rsidRPr="00593D91">
        <w:rPr>
          <w:b/>
          <w:sz w:val="28"/>
        </w:rPr>
        <w:t>2016/2017 – Travail de veille informationnelle n°1</w:t>
      </w:r>
      <w:r w:rsidR="00CB0697">
        <w:rPr>
          <w:b/>
          <w:sz w:val="28"/>
        </w:rPr>
        <w:t xml:space="preserve"> - Proposition de corrigé indicatif</w:t>
      </w:r>
    </w:p>
    <w:p w:rsidR="00593D91" w:rsidRDefault="00593D91"/>
    <w:p w:rsidR="00593D91" w:rsidRPr="00593D91" w:rsidRDefault="00593D91">
      <w:pPr>
        <w:rPr>
          <w:sz w:val="28"/>
        </w:rPr>
      </w:pPr>
      <w:r w:rsidRPr="00B81B17">
        <w:rPr>
          <w:b/>
          <w:sz w:val="28"/>
        </w:rPr>
        <w:t>Thème de la recherche</w:t>
      </w:r>
      <w:r w:rsidRPr="00593D91">
        <w:rPr>
          <w:sz w:val="28"/>
        </w:rPr>
        <w:t> :</w:t>
      </w:r>
      <w:r w:rsidR="006864ED">
        <w:rPr>
          <w:sz w:val="28"/>
        </w:rPr>
        <w:tab/>
      </w:r>
      <w:r w:rsidR="006864ED">
        <w:rPr>
          <w:sz w:val="28"/>
        </w:rPr>
        <w:tab/>
      </w:r>
      <w:r w:rsidR="006864ED" w:rsidRPr="006864ED">
        <w:rPr>
          <w:b/>
          <w:sz w:val="28"/>
          <w:highlight w:val="cyan"/>
        </w:rPr>
        <w:t>L</w:t>
      </w:r>
      <w:r w:rsidRPr="006864ED">
        <w:rPr>
          <w:b/>
          <w:sz w:val="28"/>
          <w:highlight w:val="cyan"/>
        </w:rPr>
        <w:t>’incidence de la maladie sur les congés payés</w:t>
      </w:r>
    </w:p>
    <w:p w:rsidR="00CB0697" w:rsidRPr="00550A7A" w:rsidRDefault="00CB0697" w:rsidP="00F60FF8">
      <w:pPr>
        <w:jc w:val="center"/>
        <w:rPr>
          <w:b/>
          <w:sz w:val="20"/>
        </w:rPr>
      </w:pPr>
    </w:p>
    <w:p w:rsidR="008F389C" w:rsidRPr="00F60FF8" w:rsidRDefault="00CB0697" w:rsidP="00F60FF8">
      <w:pPr>
        <w:jc w:val="center"/>
        <w:rPr>
          <w:b/>
          <w:sz w:val="28"/>
        </w:rPr>
      </w:pPr>
      <w:r>
        <w:rPr>
          <w:b/>
          <w:sz w:val="28"/>
        </w:rPr>
        <w:t>N</w:t>
      </w:r>
      <w:r w:rsidR="008F389C" w:rsidRPr="00F60FF8">
        <w:rPr>
          <w:b/>
          <w:sz w:val="28"/>
        </w:rPr>
        <w:t>ote de synthèse</w:t>
      </w:r>
    </w:p>
    <w:tbl>
      <w:tblPr>
        <w:tblStyle w:val="Grilledutableau"/>
        <w:tblW w:w="0" w:type="auto"/>
        <w:tblLook w:val="04A0"/>
      </w:tblPr>
      <w:tblGrid>
        <w:gridCol w:w="3535"/>
        <w:gridCol w:w="3535"/>
        <w:gridCol w:w="3536"/>
      </w:tblGrid>
      <w:tr w:rsidR="008F389C" w:rsidTr="007D5741">
        <w:tc>
          <w:tcPr>
            <w:tcW w:w="3535" w:type="dxa"/>
          </w:tcPr>
          <w:p w:rsidR="008F389C" w:rsidRDefault="008F389C" w:rsidP="007D5741">
            <w:pPr>
              <w:pStyle w:val="NormalWeb"/>
              <w:rPr>
                <w:rStyle w:val="lev"/>
              </w:rPr>
            </w:pPr>
            <w:r>
              <w:rPr>
                <w:rStyle w:val="lev"/>
              </w:rPr>
              <w:t>Émetteur :</w:t>
            </w:r>
          </w:p>
        </w:tc>
        <w:tc>
          <w:tcPr>
            <w:tcW w:w="3535" w:type="dxa"/>
          </w:tcPr>
          <w:p w:rsidR="008F389C" w:rsidRDefault="008F389C" w:rsidP="007D5741">
            <w:pPr>
              <w:pStyle w:val="NormalWeb"/>
              <w:rPr>
                <w:rStyle w:val="lev"/>
              </w:rPr>
            </w:pPr>
            <w:r>
              <w:rPr>
                <w:rStyle w:val="lev"/>
              </w:rPr>
              <w:t>Le comptable</w:t>
            </w:r>
          </w:p>
        </w:tc>
        <w:tc>
          <w:tcPr>
            <w:tcW w:w="3536" w:type="dxa"/>
          </w:tcPr>
          <w:p w:rsidR="008F389C" w:rsidRDefault="008F389C" w:rsidP="007D5741">
            <w:pPr>
              <w:pStyle w:val="NormalWeb"/>
              <w:rPr>
                <w:rStyle w:val="lev"/>
              </w:rPr>
            </w:pPr>
            <w:r>
              <w:rPr>
                <w:rStyle w:val="lev"/>
              </w:rPr>
              <w:t>Date :</w:t>
            </w:r>
            <w:r w:rsidR="005B5309">
              <w:rPr>
                <w:rStyle w:val="lev"/>
              </w:rPr>
              <w:t>../../..</w:t>
            </w:r>
          </w:p>
        </w:tc>
      </w:tr>
      <w:tr w:rsidR="008F389C" w:rsidTr="007D5741">
        <w:tc>
          <w:tcPr>
            <w:tcW w:w="3535" w:type="dxa"/>
          </w:tcPr>
          <w:p w:rsidR="008F389C" w:rsidRDefault="008F389C" w:rsidP="007D5741">
            <w:pPr>
              <w:pStyle w:val="NormalWeb"/>
              <w:rPr>
                <w:rStyle w:val="lev"/>
              </w:rPr>
            </w:pPr>
            <w:r>
              <w:rPr>
                <w:rStyle w:val="lev"/>
              </w:rPr>
              <w:t>Destinataire :</w:t>
            </w:r>
          </w:p>
        </w:tc>
        <w:tc>
          <w:tcPr>
            <w:tcW w:w="7071" w:type="dxa"/>
            <w:gridSpan w:val="2"/>
          </w:tcPr>
          <w:p w:rsidR="008F389C" w:rsidRDefault="008F389C" w:rsidP="007D5741">
            <w:pPr>
              <w:pStyle w:val="NormalWeb"/>
              <w:rPr>
                <w:rStyle w:val="lev"/>
              </w:rPr>
            </w:pPr>
            <w:r>
              <w:rPr>
                <w:rStyle w:val="lev"/>
              </w:rPr>
              <w:t>M. le Directeur</w:t>
            </w:r>
          </w:p>
        </w:tc>
      </w:tr>
      <w:tr w:rsidR="008F389C" w:rsidTr="007D5741">
        <w:tc>
          <w:tcPr>
            <w:tcW w:w="3535" w:type="dxa"/>
          </w:tcPr>
          <w:p w:rsidR="008F389C" w:rsidRDefault="008F389C" w:rsidP="007D5741">
            <w:pPr>
              <w:pStyle w:val="NormalWeb"/>
              <w:rPr>
                <w:rStyle w:val="lev"/>
              </w:rPr>
            </w:pPr>
            <w:r>
              <w:rPr>
                <w:rStyle w:val="lev"/>
              </w:rPr>
              <w:t>Objet :</w:t>
            </w:r>
          </w:p>
        </w:tc>
        <w:tc>
          <w:tcPr>
            <w:tcW w:w="7071" w:type="dxa"/>
            <w:gridSpan w:val="2"/>
          </w:tcPr>
          <w:p w:rsidR="008F389C" w:rsidRDefault="008F389C" w:rsidP="007D5741">
            <w:pPr>
              <w:pStyle w:val="NormalWeb"/>
              <w:rPr>
                <w:rStyle w:val="lev"/>
              </w:rPr>
            </w:pPr>
            <w:r>
              <w:rPr>
                <w:rStyle w:val="lev"/>
              </w:rPr>
              <w:t>Incidence de la maladie sur les congés payés</w:t>
            </w:r>
          </w:p>
        </w:tc>
      </w:tr>
      <w:tr w:rsidR="008F389C" w:rsidTr="007D5741">
        <w:tc>
          <w:tcPr>
            <w:tcW w:w="10606" w:type="dxa"/>
            <w:gridSpan w:val="3"/>
          </w:tcPr>
          <w:p w:rsidR="008F389C" w:rsidRDefault="008F389C" w:rsidP="008F389C">
            <w:pPr>
              <w:pStyle w:val="NormalWeb"/>
              <w:spacing w:before="0" w:beforeAutospacing="0" w:after="0" w:afterAutospacing="0"/>
              <w:rPr>
                <w:rStyle w:val="lev"/>
              </w:rPr>
            </w:pPr>
            <w:r>
              <w:rPr>
                <w:rStyle w:val="lev"/>
              </w:rPr>
              <w:t>Sources :</w:t>
            </w:r>
          </w:p>
          <w:p w:rsidR="008F389C" w:rsidRPr="0083152C" w:rsidRDefault="008F389C" w:rsidP="008F389C">
            <w:pPr>
              <w:pStyle w:val="NormalWeb"/>
              <w:numPr>
                <w:ilvl w:val="0"/>
                <w:numId w:val="7"/>
              </w:numPr>
              <w:spacing w:before="0" w:beforeAutospacing="0" w:after="0" w:afterAutospacing="0"/>
              <w:rPr>
                <w:rStyle w:val="lev"/>
                <w:b w:val="0"/>
              </w:rPr>
            </w:pPr>
            <w:r w:rsidRPr="0083152C">
              <w:rPr>
                <w:rStyle w:val="lev"/>
                <w:b w:val="0"/>
              </w:rPr>
              <w:t>Mémentis social –</w:t>
            </w:r>
            <w:r w:rsidR="00581CD1">
              <w:rPr>
                <w:rStyle w:val="lev"/>
                <w:b w:val="0"/>
              </w:rPr>
              <w:t xml:space="preserve"> rubriques : 9830, 9832 et 9836</w:t>
            </w:r>
          </w:p>
          <w:p w:rsidR="008F389C" w:rsidRDefault="00F845E5" w:rsidP="007D5741">
            <w:pPr>
              <w:pStyle w:val="NormalWeb"/>
              <w:numPr>
                <w:ilvl w:val="0"/>
                <w:numId w:val="7"/>
              </w:numPr>
              <w:spacing w:before="0" w:beforeAutospacing="0" w:after="0" w:afterAutospacing="0"/>
              <w:rPr>
                <w:rStyle w:val="lev"/>
                <w:b w:val="0"/>
              </w:rPr>
            </w:pPr>
            <w:hyperlink r:id="rId7" w:history="1">
              <w:r w:rsidR="008F389C" w:rsidRPr="0083152C">
                <w:rPr>
                  <w:rStyle w:val="Lienhypertexte"/>
                </w:rPr>
                <w:t>http://travail-emploi.gouv.fr/droit-du-travail/temps-de-travail-et-conges/conges-et-absences/article/les-conges-payes</w:t>
              </w:r>
            </w:hyperlink>
          </w:p>
          <w:p w:rsidR="00F60FF8" w:rsidRPr="0083152C" w:rsidRDefault="00F845E5" w:rsidP="00F60FF8">
            <w:pPr>
              <w:pStyle w:val="NormalWeb"/>
              <w:numPr>
                <w:ilvl w:val="0"/>
                <w:numId w:val="7"/>
              </w:numPr>
              <w:spacing w:before="0" w:beforeAutospacing="0" w:after="0" w:afterAutospacing="0"/>
              <w:rPr>
                <w:rStyle w:val="lev"/>
                <w:b w:val="0"/>
              </w:rPr>
            </w:pPr>
            <w:hyperlink r:id="rId8" w:history="1">
              <w:r w:rsidR="00F60FF8" w:rsidRPr="00DF1A7D">
                <w:rPr>
                  <w:rStyle w:val="Lienhypertexte"/>
                </w:rPr>
                <w:t>https://www.service-public.fr/particuliers/vosdroits/F2262</w:t>
              </w:r>
            </w:hyperlink>
          </w:p>
        </w:tc>
      </w:tr>
      <w:tr w:rsidR="005B5309" w:rsidTr="007D5741">
        <w:tc>
          <w:tcPr>
            <w:tcW w:w="10606" w:type="dxa"/>
            <w:gridSpan w:val="3"/>
          </w:tcPr>
          <w:p w:rsidR="005B5309" w:rsidRDefault="005B5309" w:rsidP="008F389C">
            <w:pPr>
              <w:pStyle w:val="NormalWeb"/>
              <w:spacing w:before="0" w:beforeAutospacing="0" w:after="0" w:afterAutospacing="0"/>
              <w:rPr>
                <w:rStyle w:val="lev"/>
              </w:rPr>
            </w:pPr>
            <w:r>
              <w:rPr>
                <w:rStyle w:val="lev"/>
              </w:rPr>
              <w:t xml:space="preserve">Pièce jointe : </w:t>
            </w:r>
            <w:r w:rsidRPr="005B5309">
              <w:rPr>
                <w:rStyle w:val="lev"/>
                <w:b w:val="0"/>
              </w:rPr>
              <w:t>cas d’illustration</w:t>
            </w:r>
          </w:p>
        </w:tc>
      </w:tr>
      <w:tr w:rsidR="008F389C" w:rsidTr="007D5741">
        <w:tc>
          <w:tcPr>
            <w:tcW w:w="10606" w:type="dxa"/>
            <w:gridSpan w:val="3"/>
          </w:tcPr>
          <w:p w:rsidR="008F389C" w:rsidRDefault="008F389C" w:rsidP="008F389C">
            <w:pPr>
              <w:pStyle w:val="NormalWeb"/>
              <w:spacing w:before="0" w:beforeAutospacing="0" w:after="0" w:afterAutospacing="0"/>
              <w:jc w:val="center"/>
              <w:rPr>
                <w:rStyle w:val="lev"/>
              </w:rPr>
            </w:pPr>
            <w:r>
              <w:rPr>
                <w:rStyle w:val="lev"/>
              </w:rPr>
              <w:t>Note de synthèse</w:t>
            </w:r>
          </w:p>
          <w:p w:rsidR="008F389C" w:rsidRDefault="008F389C" w:rsidP="007D5741">
            <w:pPr>
              <w:pStyle w:val="NormalWeb"/>
              <w:spacing w:before="0" w:beforeAutospacing="0" w:after="0" w:afterAutospacing="0"/>
              <w:jc w:val="both"/>
              <w:rPr>
                <w:rStyle w:val="lev"/>
              </w:rPr>
            </w:pPr>
          </w:p>
          <w:p w:rsidR="008F389C" w:rsidRPr="008F389C" w:rsidRDefault="008F389C" w:rsidP="007D5741">
            <w:pPr>
              <w:pStyle w:val="NormalWeb"/>
              <w:spacing w:before="0" w:beforeAutospacing="0" w:after="0" w:afterAutospacing="0"/>
              <w:jc w:val="both"/>
              <w:rPr>
                <w:rStyle w:val="lev"/>
                <w:b w:val="0"/>
              </w:rPr>
            </w:pPr>
            <w:r w:rsidRPr="008F389C">
              <w:rPr>
                <w:rStyle w:val="lev"/>
                <w:b w:val="0"/>
              </w:rPr>
              <w:t>Vous m’avez demandé d’effectuer une recherche sur l’incidence de la maladie sur les droits acquis par les salariés au titre de leurs congés payés.</w:t>
            </w:r>
          </w:p>
          <w:p w:rsidR="008F389C" w:rsidRPr="008F389C" w:rsidRDefault="008F389C" w:rsidP="007D5741">
            <w:pPr>
              <w:pStyle w:val="NormalWeb"/>
              <w:spacing w:before="0" w:beforeAutospacing="0" w:after="0" w:afterAutospacing="0"/>
              <w:jc w:val="both"/>
              <w:rPr>
                <w:rStyle w:val="lev"/>
                <w:b w:val="0"/>
              </w:rPr>
            </w:pPr>
            <w:r w:rsidRPr="008F389C">
              <w:rPr>
                <w:rStyle w:val="lev"/>
                <w:b w:val="0"/>
              </w:rPr>
              <w:t>Vous trouverez ci-après une synthèse des informations que j’ai sélectionnées, sur la base des sources mentionnées plus haut. On peut signaler qu’une recherche complémentaire sur internet donne des indications parfois contradictoires du fait de l’évolution de la législation dans ce domaine</w:t>
            </w:r>
            <w:r w:rsidR="0083152C">
              <w:rPr>
                <w:rStyle w:val="lev"/>
                <w:b w:val="0"/>
              </w:rPr>
              <w:t>,</w:t>
            </w:r>
            <w:r w:rsidRPr="008F389C">
              <w:rPr>
                <w:rStyle w:val="lev"/>
                <w:b w:val="0"/>
              </w:rPr>
              <w:t xml:space="preserve"> due en particulier à la législation européenne.</w:t>
            </w:r>
          </w:p>
          <w:p w:rsidR="008F389C" w:rsidRPr="00F60FF8" w:rsidRDefault="008F389C" w:rsidP="007D5741">
            <w:pPr>
              <w:pStyle w:val="NormalWeb"/>
              <w:spacing w:before="0" w:beforeAutospacing="0" w:after="0" w:afterAutospacing="0"/>
              <w:jc w:val="both"/>
              <w:rPr>
                <w:rStyle w:val="lev"/>
                <w:sz w:val="20"/>
              </w:rPr>
            </w:pPr>
          </w:p>
          <w:p w:rsidR="008F389C" w:rsidRDefault="008F389C" w:rsidP="007D5741">
            <w:pPr>
              <w:pStyle w:val="NormalWeb"/>
              <w:spacing w:before="0" w:beforeAutospacing="0" w:after="0" w:afterAutospacing="0"/>
              <w:jc w:val="both"/>
              <w:rPr>
                <w:rStyle w:val="lev"/>
              </w:rPr>
            </w:pPr>
            <w:r w:rsidRPr="008F389C">
              <w:rPr>
                <w:rStyle w:val="lev"/>
              </w:rPr>
              <w:t>On doit distinguer plusieu</w:t>
            </w:r>
            <w:r>
              <w:rPr>
                <w:rStyle w:val="lev"/>
              </w:rPr>
              <w:t>rs cas possibles :</w:t>
            </w:r>
          </w:p>
          <w:p w:rsidR="008F389C" w:rsidRDefault="008F389C" w:rsidP="008F389C">
            <w:pPr>
              <w:pStyle w:val="NormalWeb"/>
              <w:numPr>
                <w:ilvl w:val="0"/>
                <w:numId w:val="5"/>
              </w:numPr>
              <w:spacing w:before="0" w:beforeAutospacing="0" w:after="0" w:afterAutospacing="0"/>
              <w:jc w:val="both"/>
              <w:rPr>
                <w:rStyle w:val="lev"/>
              </w:rPr>
            </w:pPr>
            <w:r w:rsidRPr="008F389C">
              <w:rPr>
                <w:rStyle w:val="lev"/>
              </w:rPr>
              <w:t>Le salarié a été malade pendant la période de référence</w:t>
            </w:r>
          </w:p>
          <w:p w:rsidR="008F389C" w:rsidRPr="008F389C" w:rsidRDefault="008F389C" w:rsidP="008F389C">
            <w:pPr>
              <w:pStyle w:val="NormalWeb"/>
              <w:spacing w:before="0" w:beforeAutospacing="0" w:after="0" w:afterAutospacing="0"/>
              <w:ind w:left="708"/>
              <w:jc w:val="both"/>
              <w:rPr>
                <w:rStyle w:val="lev"/>
                <w:b w:val="0"/>
              </w:rPr>
            </w:pPr>
            <w:r w:rsidRPr="008F389C">
              <w:rPr>
                <w:rStyle w:val="lev"/>
                <w:b w:val="0"/>
              </w:rPr>
              <w:t xml:space="preserve">Les droits acquis par le salarié au cours de la période de référence concernée peuvent être réduits pour tenir compte de l’absence. Toutefois, les différentes méthodes de calcul des droits permettent au salarié d’acquérir des congés complets lorsqu’il a travaillé </w:t>
            </w:r>
            <w:r w:rsidR="005B5309">
              <w:rPr>
                <w:rStyle w:val="lev"/>
                <w:b w:val="0"/>
              </w:rPr>
              <w:t xml:space="preserve">par exemple </w:t>
            </w:r>
            <w:r w:rsidRPr="008F389C">
              <w:rPr>
                <w:rStyle w:val="lev"/>
                <w:b w:val="0"/>
              </w:rPr>
              <w:t>au moins 4 semaines ou 20 jours effectifs au cours d’un mois.</w:t>
            </w:r>
          </w:p>
          <w:p w:rsidR="008F389C" w:rsidRPr="008F389C" w:rsidRDefault="008F389C" w:rsidP="008F389C">
            <w:pPr>
              <w:pStyle w:val="NormalWeb"/>
              <w:numPr>
                <w:ilvl w:val="0"/>
                <w:numId w:val="5"/>
              </w:numPr>
              <w:spacing w:before="0" w:beforeAutospacing="0" w:after="0" w:afterAutospacing="0"/>
              <w:jc w:val="both"/>
              <w:rPr>
                <w:rStyle w:val="lev"/>
              </w:rPr>
            </w:pPr>
            <w:r w:rsidRPr="008F389C">
              <w:rPr>
                <w:rStyle w:val="lev"/>
              </w:rPr>
              <w:t>Le salarié est malade au moment où il d</w:t>
            </w:r>
            <w:r w:rsidR="0083152C">
              <w:rPr>
                <w:rStyle w:val="lev"/>
              </w:rPr>
              <w:t>evrait partir en congés payés</w:t>
            </w:r>
          </w:p>
          <w:p w:rsidR="008F389C" w:rsidRDefault="008F389C" w:rsidP="008F389C">
            <w:pPr>
              <w:pStyle w:val="NormalWeb"/>
              <w:spacing w:before="0" w:beforeAutospacing="0" w:after="0" w:afterAutospacing="0"/>
              <w:ind w:left="708"/>
              <w:jc w:val="both"/>
              <w:rPr>
                <w:rStyle w:val="lev"/>
                <w:b w:val="0"/>
              </w:rPr>
            </w:pPr>
            <w:r w:rsidRPr="008F389C">
              <w:rPr>
                <w:rStyle w:val="lev"/>
                <w:b w:val="0"/>
              </w:rPr>
              <w:t>En cas de retour avant la fin de la période des congés dans l'entreprise, « le salarié, qui a conservé son droit à congés, peut demander à en bénéficier ultérieurement. L'employeur, qui n'est pas libéré de son obligation, doit donc lui accorder la part de congés non prise du fait de l'arrêt de travail (Cass. soc. 16-2-1999 n° 96-45.364) ».</w:t>
            </w:r>
          </w:p>
          <w:p w:rsidR="008F389C" w:rsidRDefault="008F389C" w:rsidP="008F389C">
            <w:pPr>
              <w:pStyle w:val="NormalWeb"/>
              <w:numPr>
                <w:ilvl w:val="0"/>
                <w:numId w:val="5"/>
              </w:numPr>
              <w:spacing w:before="0" w:beforeAutospacing="0" w:after="0" w:afterAutospacing="0"/>
              <w:jc w:val="both"/>
              <w:rPr>
                <w:rStyle w:val="lev"/>
              </w:rPr>
            </w:pPr>
            <w:r w:rsidRPr="008F389C">
              <w:rPr>
                <w:rStyle w:val="lev"/>
              </w:rPr>
              <w:t>Le salarié est malade pendant ses congés payés</w:t>
            </w:r>
          </w:p>
          <w:p w:rsidR="00F60FF8" w:rsidRDefault="008F389C" w:rsidP="008F389C">
            <w:pPr>
              <w:pStyle w:val="NormalWeb"/>
              <w:spacing w:before="0" w:beforeAutospacing="0" w:after="0" w:afterAutospacing="0"/>
              <w:ind w:left="708"/>
              <w:jc w:val="both"/>
              <w:rPr>
                <w:rStyle w:val="lev"/>
                <w:b w:val="0"/>
              </w:rPr>
            </w:pPr>
            <w:r w:rsidRPr="005B5309">
              <w:rPr>
                <w:rStyle w:val="lev"/>
                <w:b w:val="0"/>
              </w:rPr>
              <w:t>Selon la jurisprudence française (contraire au droit européen), « le salarié qui tombe malade au cours de ses congés payés ne peut exiger de prendre ultérieurement les congés dont il n'a pu bénéficier du fait de son arrêt de travail, l'employeur s'étant acquitté de son obligation à son égard (Cass. soc. 4-12-1996 n° 93-44.907) ».</w:t>
            </w:r>
          </w:p>
          <w:p w:rsidR="008F389C" w:rsidRPr="005B5309" w:rsidRDefault="00F60FF8" w:rsidP="008F389C">
            <w:pPr>
              <w:pStyle w:val="NormalWeb"/>
              <w:spacing w:before="0" w:beforeAutospacing="0" w:after="0" w:afterAutospacing="0"/>
              <w:ind w:left="708"/>
              <w:jc w:val="both"/>
              <w:rPr>
                <w:rStyle w:val="lev"/>
                <w:b w:val="0"/>
              </w:rPr>
            </w:pPr>
            <w:r>
              <w:rPr>
                <w:rStyle w:val="lev"/>
                <w:b w:val="0"/>
              </w:rPr>
              <w:t>Le site Service public, fournit une analyse différente et affirme le contraire en s’appuyant sur la législation européenne.</w:t>
            </w:r>
          </w:p>
          <w:p w:rsidR="008F389C" w:rsidRPr="0083152C" w:rsidRDefault="008F389C" w:rsidP="008F389C">
            <w:pPr>
              <w:pStyle w:val="NormalWeb"/>
              <w:numPr>
                <w:ilvl w:val="0"/>
                <w:numId w:val="5"/>
              </w:numPr>
              <w:spacing w:before="0" w:beforeAutospacing="0" w:after="0" w:afterAutospacing="0"/>
              <w:jc w:val="both"/>
              <w:rPr>
                <w:rStyle w:val="lev"/>
              </w:rPr>
            </w:pPr>
            <w:r w:rsidRPr="008F389C">
              <w:rPr>
                <w:rStyle w:val="lev"/>
              </w:rPr>
              <w:t xml:space="preserve">Le salarié est malade au moment où </w:t>
            </w:r>
            <w:r>
              <w:rPr>
                <w:rStyle w:val="lev"/>
              </w:rPr>
              <w:t>il devrait reprendre le travail</w:t>
            </w:r>
          </w:p>
          <w:p w:rsidR="008F389C" w:rsidRPr="008F389C" w:rsidRDefault="008F389C" w:rsidP="008F389C">
            <w:pPr>
              <w:pStyle w:val="NormalWeb"/>
              <w:spacing w:before="0" w:beforeAutospacing="0" w:after="0" w:afterAutospacing="0"/>
              <w:ind w:left="708"/>
              <w:jc w:val="both"/>
              <w:rPr>
                <w:rStyle w:val="lev"/>
                <w:b w:val="0"/>
              </w:rPr>
            </w:pPr>
            <w:r w:rsidRPr="008F389C">
              <w:rPr>
                <w:rStyle w:val="lev"/>
                <w:b w:val="0"/>
              </w:rPr>
              <w:t>En cas de retour après la fin de la période des congés prévue, « le salarié ne perd pas le droit à ces derniers. En effet, les congés payés acquis qui n'ont pas pu être pris au cours de l'année prévue par le Code du travail ou une convention collective en raison d'absences liées à une maladie, un accident du travail ou une maladie professionnelle doivent être reportés après la date de reprise du travail (Cass. soc. 24-2-2009 n° 07-44.488 RJS 5/09 n° 442 ; 25-3-2009 n° 07-43.767 RJS 6/09 n° 519) ».</w:t>
            </w:r>
          </w:p>
          <w:p w:rsidR="008F389C" w:rsidRDefault="008F389C" w:rsidP="008F389C">
            <w:pPr>
              <w:pStyle w:val="NormalWeb"/>
              <w:spacing w:before="0" w:beforeAutospacing="0" w:after="0" w:afterAutospacing="0"/>
              <w:ind w:left="708"/>
              <w:jc w:val="both"/>
              <w:rPr>
                <w:rStyle w:val="lev"/>
              </w:rPr>
            </w:pPr>
          </w:p>
          <w:p w:rsidR="008F389C" w:rsidRDefault="008F389C" w:rsidP="008F389C">
            <w:pPr>
              <w:pStyle w:val="NormalWeb"/>
              <w:spacing w:before="0" w:beforeAutospacing="0" w:after="0" w:afterAutospacing="0"/>
              <w:jc w:val="both"/>
              <w:rPr>
                <w:rStyle w:val="lev"/>
              </w:rPr>
            </w:pPr>
            <w:r w:rsidRPr="008F389C">
              <w:rPr>
                <w:rStyle w:val="lev"/>
              </w:rPr>
              <w:t>En tout état de cause, il est prudent de se reporter également à la Convention Collective qui pourrait prévoir des dispositio</w:t>
            </w:r>
            <w:r>
              <w:rPr>
                <w:rStyle w:val="lev"/>
              </w:rPr>
              <w:t>ns particulières en la matière.</w:t>
            </w:r>
          </w:p>
          <w:p w:rsidR="008F389C" w:rsidRDefault="008F389C" w:rsidP="008F389C">
            <w:pPr>
              <w:pStyle w:val="NormalWeb"/>
              <w:spacing w:before="0" w:beforeAutospacing="0" w:after="0" w:afterAutospacing="0"/>
              <w:jc w:val="both"/>
              <w:rPr>
                <w:rStyle w:val="lev"/>
              </w:rPr>
            </w:pPr>
          </w:p>
          <w:p w:rsidR="008F389C" w:rsidRDefault="008F389C" w:rsidP="008F389C">
            <w:pPr>
              <w:pStyle w:val="NormalWeb"/>
              <w:spacing w:before="0" w:beforeAutospacing="0" w:after="0" w:afterAutospacing="0"/>
              <w:jc w:val="both"/>
              <w:rPr>
                <w:rStyle w:val="lev"/>
              </w:rPr>
            </w:pPr>
            <w:r w:rsidRPr="008F389C">
              <w:rPr>
                <w:rStyle w:val="lev"/>
              </w:rPr>
              <w:t>Je reste à votre disposition pour toute recherche complémentaire</w:t>
            </w:r>
            <w:r>
              <w:rPr>
                <w:rStyle w:val="lev"/>
              </w:rPr>
              <w:t xml:space="preserve"> que vous pourriez juger utile.</w:t>
            </w:r>
          </w:p>
          <w:p w:rsidR="008F389C" w:rsidRDefault="008F389C" w:rsidP="008F389C">
            <w:pPr>
              <w:pStyle w:val="NormalWeb"/>
              <w:spacing w:before="0" w:beforeAutospacing="0" w:after="0" w:afterAutospacing="0"/>
              <w:jc w:val="both"/>
              <w:rPr>
                <w:rStyle w:val="lev"/>
              </w:rPr>
            </w:pPr>
          </w:p>
          <w:p w:rsidR="008F389C" w:rsidRPr="008F389C" w:rsidRDefault="008F389C" w:rsidP="008F389C">
            <w:pPr>
              <w:pStyle w:val="NormalWeb"/>
              <w:spacing w:before="0" w:beforeAutospacing="0" w:after="0" w:afterAutospacing="0"/>
              <w:jc w:val="both"/>
              <w:rPr>
                <w:rStyle w:val="lev"/>
                <w:b w:val="0"/>
              </w:rPr>
            </w:pPr>
            <w:r w:rsidRPr="008F389C">
              <w:rPr>
                <w:rStyle w:val="lev"/>
              </w:rPr>
              <w:t>« Le collaborateur comptable »</w:t>
            </w:r>
            <w:r w:rsidRPr="00F3051B">
              <w:rPr>
                <w:rStyle w:val="lev"/>
              </w:rPr>
              <w:t>.</w:t>
            </w:r>
          </w:p>
        </w:tc>
      </w:tr>
    </w:tbl>
    <w:p w:rsidR="005B5309" w:rsidRPr="005B5309" w:rsidRDefault="008F389C" w:rsidP="005B5309">
      <w:pPr>
        <w:jc w:val="center"/>
        <w:rPr>
          <w:b/>
          <w:sz w:val="28"/>
        </w:rPr>
      </w:pPr>
      <w:r>
        <w:rPr>
          <w:sz w:val="28"/>
        </w:rPr>
        <w:br w:type="page"/>
      </w:r>
      <w:r w:rsidR="005B5309" w:rsidRPr="005B5309">
        <w:rPr>
          <w:b/>
          <w:sz w:val="28"/>
        </w:rPr>
        <w:lastRenderedPageBreak/>
        <w:t>Illustration des différents cas mentionnés</w:t>
      </w:r>
    </w:p>
    <w:p w:rsidR="005B5309" w:rsidRDefault="005B5309">
      <w:pPr>
        <w:rPr>
          <w:sz w:val="28"/>
        </w:rPr>
      </w:pPr>
    </w:p>
    <w:p w:rsidR="005B5309" w:rsidRDefault="005B5309" w:rsidP="005B5309">
      <w:pPr>
        <w:pStyle w:val="Paragraphedeliste"/>
        <w:numPr>
          <w:ilvl w:val="0"/>
          <w:numId w:val="8"/>
        </w:numPr>
        <w:rPr>
          <w:sz w:val="28"/>
        </w:rPr>
      </w:pPr>
      <w:r>
        <w:rPr>
          <w:sz w:val="28"/>
        </w:rPr>
        <w:t>Réduction des droits à congés suite à une absence maladie</w:t>
      </w:r>
    </w:p>
    <w:p w:rsidR="005B5309" w:rsidRPr="006C296B" w:rsidRDefault="00DC5CEB" w:rsidP="006C296B">
      <w:pPr>
        <w:ind w:left="360"/>
        <w:jc w:val="both"/>
        <w:rPr>
          <w:i/>
          <w:sz w:val="24"/>
        </w:rPr>
      </w:pPr>
      <w:r>
        <w:rPr>
          <w:i/>
          <w:sz w:val="24"/>
        </w:rPr>
        <w:t>« </w:t>
      </w:r>
      <w:r w:rsidR="005B5309" w:rsidRPr="00DC5CEB">
        <w:rPr>
          <w:i/>
          <w:sz w:val="24"/>
        </w:rPr>
        <w:t>En théorie, un salarié voit ses droits à congés payés réduits lorsqu’il a été absent pour maladie pendant la période de référence. Toutefois les différents modes de calcul peuvent aboutir à un résultat différent.</w:t>
      </w:r>
      <w:r>
        <w:rPr>
          <w:i/>
          <w:sz w:val="24"/>
        </w:rPr>
        <w:t> »</w:t>
      </w:r>
      <w:r w:rsidR="005B5309" w:rsidRPr="006C296B">
        <w:rPr>
          <w:i/>
          <w:sz w:val="24"/>
        </w:rPr>
        <w:t>Par exemple, un salarié qui serait absent une semaine complète aura toujours droit à ses 30 jours ouvrables de congés payés si on applique la règle la plus favorable mentionnée sur le site du Ministère du travail faisant référence à la durée de travail sur le mois concerné par l’absence.</w:t>
      </w:r>
    </w:p>
    <w:p w:rsidR="006C296B" w:rsidRDefault="006C296B" w:rsidP="006C296B">
      <w:pPr>
        <w:ind w:left="360"/>
        <w:jc w:val="both"/>
        <w:rPr>
          <w:sz w:val="24"/>
        </w:rPr>
      </w:pPr>
    </w:p>
    <w:p w:rsidR="005B5309" w:rsidRPr="006C296B" w:rsidRDefault="005B5309" w:rsidP="006C296B">
      <w:pPr>
        <w:ind w:left="360"/>
        <w:jc w:val="both"/>
        <w:rPr>
          <w:sz w:val="24"/>
        </w:rPr>
      </w:pPr>
      <w:r w:rsidRPr="006C296B">
        <w:rPr>
          <w:sz w:val="24"/>
        </w:rPr>
        <w:t xml:space="preserve">Sur le mois de mars, </w:t>
      </w:r>
      <w:r w:rsidR="00AB5D5A" w:rsidRPr="006C296B">
        <w:rPr>
          <w:sz w:val="24"/>
        </w:rPr>
        <w:t xml:space="preserve">Martin a été </w:t>
      </w:r>
      <w:r w:rsidRPr="006C296B">
        <w:rPr>
          <w:sz w:val="24"/>
        </w:rPr>
        <w:t>absen</w:t>
      </w:r>
      <w:r w:rsidR="00AB5D5A" w:rsidRPr="006C296B">
        <w:rPr>
          <w:sz w:val="24"/>
        </w:rPr>
        <w:t>t</w:t>
      </w:r>
      <w:r w:rsidRPr="006C296B">
        <w:rPr>
          <w:sz w:val="24"/>
        </w:rPr>
        <w:t xml:space="preserve"> du </w:t>
      </w:r>
      <w:r w:rsidR="00F60FF8" w:rsidRPr="006C296B">
        <w:rPr>
          <w:sz w:val="24"/>
        </w:rPr>
        <w:t>01/03</w:t>
      </w:r>
      <w:r w:rsidRPr="006C296B">
        <w:rPr>
          <w:sz w:val="24"/>
        </w:rPr>
        <w:t xml:space="preserve"> au 05/03</w:t>
      </w:r>
      <w:r w:rsidR="00AB5D5A" w:rsidRPr="006C296B">
        <w:rPr>
          <w:sz w:val="24"/>
        </w:rPr>
        <w:t>. Cela</w:t>
      </w:r>
      <w:r w:rsidRPr="006C296B">
        <w:rPr>
          <w:sz w:val="24"/>
        </w:rPr>
        <w:t xml:space="preserve"> n’</w:t>
      </w:r>
      <w:r w:rsidR="00AB5D5A" w:rsidRPr="006C296B">
        <w:rPr>
          <w:sz w:val="24"/>
        </w:rPr>
        <w:t>aura</w:t>
      </w:r>
      <w:r w:rsidRPr="006C296B">
        <w:rPr>
          <w:sz w:val="24"/>
        </w:rPr>
        <w:t xml:space="preserve"> aucune conséquence sur </w:t>
      </w:r>
      <w:r w:rsidR="00AB5D5A" w:rsidRPr="006C296B">
        <w:rPr>
          <w:sz w:val="24"/>
        </w:rPr>
        <w:t>s</w:t>
      </w:r>
      <w:r w:rsidRPr="006C296B">
        <w:rPr>
          <w:sz w:val="24"/>
        </w:rPr>
        <w:t xml:space="preserve">es droits, dans la mesure où </w:t>
      </w:r>
      <w:r w:rsidR="00AB5D5A" w:rsidRPr="006C296B">
        <w:rPr>
          <w:sz w:val="24"/>
        </w:rPr>
        <w:t>il a</w:t>
      </w:r>
      <w:r w:rsidRPr="006C296B">
        <w:rPr>
          <w:sz w:val="24"/>
        </w:rPr>
        <w:t xml:space="preserve"> travaillé 20 jours en mars (horaire sur 5</w:t>
      </w:r>
      <w:r w:rsidR="00F60FF8" w:rsidRPr="006C296B">
        <w:rPr>
          <w:sz w:val="24"/>
        </w:rPr>
        <w:t xml:space="preserve"> jours du lundi au vendredi).</w:t>
      </w:r>
    </w:p>
    <w:p w:rsidR="00F60FF8" w:rsidRDefault="00F60FF8" w:rsidP="006C296B">
      <w:pPr>
        <w:ind w:left="360"/>
        <w:jc w:val="both"/>
        <w:rPr>
          <w:sz w:val="28"/>
        </w:rPr>
      </w:pPr>
    </w:p>
    <w:p w:rsidR="005B5309" w:rsidRDefault="005B5309" w:rsidP="005B5309">
      <w:pPr>
        <w:pStyle w:val="Paragraphedeliste"/>
        <w:numPr>
          <w:ilvl w:val="0"/>
          <w:numId w:val="8"/>
        </w:numPr>
        <w:rPr>
          <w:sz w:val="28"/>
        </w:rPr>
      </w:pPr>
      <w:r w:rsidRPr="005B5309">
        <w:rPr>
          <w:sz w:val="28"/>
        </w:rPr>
        <w:t>Salarié malade au moment du départ en congés programmé</w:t>
      </w:r>
    </w:p>
    <w:p w:rsidR="00F60FF8" w:rsidRPr="00DC5CEB" w:rsidRDefault="00DC5CEB" w:rsidP="00AB5D5A">
      <w:pPr>
        <w:ind w:left="360"/>
        <w:jc w:val="both"/>
        <w:rPr>
          <w:i/>
          <w:sz w:val="24"/>
        </w:rPr>
      </w:pPr>
      <w:r w:rsidRPr="00DC5CEB">
        <w:rPr>
          <w:i/>
          <w:sz w:val="24"/>
        </w:rPr>
        <w:t>« Un</w:t>
      </w:r>
      <w:r w:rsidR="008D7CD2" w:rsidRPr="00DC5CEB">
        <w:rPr>
          <w:i/>
          <w:sz w:val="24"/>
        </w:rPr>
        <w:t xml:space="preserve"> salarié malade avant le départ en congés a droit au report de ses congés payés après la date de reprise du travail.Les congés payés acquis non pris ne sont donc pas perdus. L'employeur devra accorder au salarié une nouvelle période de congés, que ce soit durant la période de prise de congés en cours dans l'entreprise ou au-delà.</w:t>
      </w:r>
      <w:r w:rsidRPr="00DC5CEB">
        <w:rPr>
          <w:i/>
          <w:sz w:val="24"/>
        </w:rPr>
        <w:t> »</w:t>
      </w:r>
    </w:p>
    <w:p w:rsidR="006C296B" w:rsidRDefault="006C296B" w:rsidP="00AB5D5A">
      <w:pPr>
        <w:ind w:left="360"/>
        <w:jc w:val="both"/>
        <w:rPr>
          <w:sz w:val="24"/>
        </w:rPr>
      </w:pPr>
    </w:p>
    <w:p w:rsidR="00DC5CEB" w:rsidRPr="006C296B" w:rsidRDefault="00DC5CEB" w:rsidP="00AB5D5A">
      <w:pPr>
        <w:ind w:left="360"/>
        <w:jc w:val="both"/>
        <w:rPr>
          <w:sz w:val="24"/>
        </w:rPr>
      </w:pPr>
      <w:r w:rsidRPr="006C296B">
        <w:rPr>
          <w:sz w:val="24"/>
        </w:rPr>
        <w:t>Martin est en arrêt maladie du 03/07 au 12/07. Il devait être en congés à compter du 10. Dans ce cas, les congés prévus seront prolongés de trois jours ouvrables.</w:t>
      </w:r>
    </w:p>
    <w:p w:rsidR="00DC5CEB" w:rsidRPr="00F60FF8" w:rsidRDefault="00DC5CEB" w:rsidP="008D7CD2">
      <w:pPr>
        <w:ind w:left="360"/>
        <w:rPr>
          <w:sz w:val="28"/>
        </w:rPr>
      </w:pPr>
    </w:p>
    <w:p w:rsidR="005B5309" w:rsidRDefault="005B5309" w:rsidP="005B5309">
      <w:pPr>
        <w:pStyle w:val="Paragraphedeliste"/>
        <w:numPr>
          <w:ilvl w:val="0"/>
          <w:numId w:val="8"/>
        </w:numPr>
        <w:rPr>
          <w:sz w:val="28"/>
        </w:rPr>
      </w:pPr>
      <w:r>
        <w:rPr>
          <w:sz w:val="28"/>
        </w:rPr>
        <w:t>Salarié malade pendant ses congés</w:t>
      </w:r>
    </w:p>
    <w:p w:rsidR="00F60FF8" w:rsidRPr="006E0FF1" w:rsidRDefault="006E0FF1" w:rsidP="006E0FF1">
      <w:pPr>
        <w:ind w:left="360"/>
        <w:jc w:val="both"/>
        <w:rPr>
          <w:i/>
          <w:sz w:val="24"/>
        </w:rPr>
      </w:pPr>
      <w:r w:rsidRPr="006E0FF1">
        <w:rPr>
          <w:i/>
          <w:sz w:val="24"/>
        </w:rPr>
        <w:t>« </w:t>
      </w:r>
      <w:r w:rsidR="00F60FF8" w:rsidRPr="006E0FF1">
        <w:rPr>
          <w:i/>
          <w:sz w:val="24"/>
        </w:rPr>
        <w:t>Selon que l’on applique la législation française ou la législation européenne, le traitement sera différent</w:t>
      </w:r>
      <w:r w:rsidRPr="006E0FF1">
        <w:rPr>
          <w:i/>
          <w:sz w:val="24"/>
        </w:rPr>
        <w:t> ! »</w:t>
      </w:r>
    </w:p>
    <w:p w:rsidR="006C296B" w:rsidRDefault="006C296B" w:rsidP="006E0FF1">
      <w:pPr>
        <w:ind w:left="360"/>
        <w:jc w:val="both"/>
        <w:rPr>
          <w:sz w:val="24"/>
        </w:rPr>
      </w:pPr>
    </w:p>
    <w:p w:rsidR="00F60FF8" w:rsidRPr="006C296B" w:rsidRDefault="006E0FF1" w:rsidP="006E0FF1">
      <w:pPr>
        <w:ind w:left="360"/>
        <w:jc w:val="both"/>
        <w:rPr>
          <w:sz w:val="24"/>
        </w:rPr>
      </w:pPr>
      <w:r w:rsidRPr="006C296B">
        <w:rPr>
          <w:sz w:val="24"/>
        </w:rPr>
        <w:t>Martin</w:t>
      </w:r>
      <w:r w:rsidR="00F60FF8" w:rsidRPr="006C296B">
        <w:rPr>
          <w:sz w:val="24"/>
        </w:rPr>
        <w:t xml:space="preserve"> tombe malade pendant ses congés, selon la législation française, </w:t>
      </w:r>
      <w:r w:rsidRPr="006C296B">
        <w:rPr>
          <w:sz w:val="24"/>
        </w:rPr>
        <w:t xml:space="preserve">il </w:t>
      </w:r>
      <w:r w:rsidR="00F60FF8" w:rsidRPr="006C296B">
        <w:rPr>
          <w:sz w:val="24"/>
        </w:rPr>
        <w:t xml:space="preserve">ne peut pas demander le report de ses congés alors que selon la législation européenne, le report est de droit. Par exemple, </w:t>
      </w:r>
      <w:r w:rsidRPr="006C296B">
        <w:rPr>
          <w:sz w:val="24"/>
        </w:rPr>
        <w:t xml:space="preserve">pour </w:t>
      </w:r>
      <w:r w:rsidR="00F60FF8" w:rsidRPr="006C296B">
        <w:rPr>
          <w:sz w:val="24"/>
        </w:rPr>
        <w:t>un arrêt m</w:t>
      </w:r>
      <w:r w:rsidRPr="006C296B">
        <w:rPr>
          <w:sz w:val="24"/>
        </w:rPr>
        <w:t xml:space="preserve">aladie de 5 jours ouvrables, il </w:t>
      </w:r>
      <w:r w:rsidR="00F60FF8" w:rsidRPr="006C296B">
        <w:rPr>
          <w:sz w:val="24"/>
        </w:rPr>
        <w:t>devrait reprendre le travail 5 jours après la date prévue initialement pour tenir compte du report alors qu’en droi</w:t>
      </w:r>
      <w:r w:rsidR="00AB5D5A" w:rsidRPr="006C296B">
        <w:rPr>
          <w:sz w:val="24"/>
        </w:rPr>
        <w:t>t français, il doit reprendre le</w:t>
      </w:r>
      <w:r w:rsidR="00F60FF8" w:rsidRPr="006C296B">
        <w:rPr>
          <w:sz w:val="24"/>
        </w:rPr>
        <w:t xml:space="preserve"> travail à la date prévue mais bénéficie d’un double paiement : celui des indemnités de congés payés et des indemnités journalières de sécurité sociale pendant la période de maladie.</w:t>
      </w:r>
    </w:p>
    <w:p w:rsidR="00F60FF8" w:rsidRPr="00F60FF8" w:rsidRDefault="00F60FF8" w:rsidP="006E0FF1">
      <w:pPr>
        <w:ind w:left="360"/>
        <w:jc w:val="both"/>
        <w:rPr>
          <w:sz w:val="28"/>
        </w:rPr>
      </w:pPr>
    </w:p>
    <w:p w:rsidR="005B5309" w:rsidRDefault="005B5309" w:rsidP="005B5309">
      <w:pPr>
        <w:pStyle w:val="Paragraphedeliste"/>
        <w:numPr>
          <w:ilvl w:val="0"/>
          <w:numId w:val="8"/>
        </w:numPr>
        <w:rPr>
          <w:sz w:val="28"/>
        </w:rPr>
      </w:pPr>
      <w:r>
        <w:rPr>
          <w:sz w:val="28"/>
        </w:rPr>
        <w:t>Salarié malade au moment de la reprise du travail</w:t>
      </w:r>
    </w:p>
    <w:p w:rsidR="006E0FF1" w:rsidRDefault="007C0755" w:rsidP="007C0755">
      <w:pPr>
        <w:ind w:left="360"/>
        <w:rPr>
          <w:i/>
          <w:sz w:val="24"/>
        </w:rPr>
      </w:pPr>
      <w:r w:rsidRPr="007C0755">
        <w:rPr>
          <w:i/>
          <w:sz w:val="24"/>
        </w:rPr>
        <w:t>« Le salarié malade au moment où il devrait reprendre le travail ne perd pas, en principe, ses droits à congés même s’il ne reprend pas le travail avant la fin de la période légale de prise des congés ».</w:t>
      </w:r>
    </w:p>
    <w:p w:rsidR="006C296B" w:rsidRDefault="006C296B" w:rsidP="007C0755">
      <w:pPr>
        <w:ind w:left="360"/>
        <w:rPr>
          <w:sz w:val="24"/>
        </w:rPr>
      </w:pPr>
    </w:p>
    <w:p w:rsidR="006C296B" w:rsidRPr="006C296B" w:rsidRDefault="006C296B" w:rsidP="007C0755">
      <w:pPr>
        <w:ind w:left="360"/>
        <w:rPr>
          <w:sz w:val="24"/>
        </w:rPr>
      </w:pPr>
      <w:bookmarkStart w:id="0" w:name="_GoBack"/>
      <w:bookmarkEnd w:id="0"/>
      <w:r w:rsidRPr="006C296B">
        <w:rPr>
          <w:sz w:val="24"/>
        </w:rPr>
        <w:t>Martin est en maladie depuis le 10/07 et n’a pas pu reprendre le travail début août. Il a toujours droit à ses congés non pris et l’employeur devra lui proposer une autre période de prise des congés, y compris en dehors de la période légale si nécessaire.</w:t>
      </w:r>
    </w:p>
    <w:p w:rsidR="00B4574A" w:rsidRDefault="00B4574A" w:rsidP="00CB0697">
      <w:pPr>
        <w:rPr>
          <w:sz w:val="28"/>
        </w:rPr>
      </w:pPr>
    </w:p>
    <w:p w:rsidR="00465B19" w:rsidRDefault="00465B19" w:rsidP="00CB0697">
      <w:pPr>
        <w:rPr>
          <w:sz w:val="28"/>
        </w:rPr>
      </w:pPr>
    </w:p>
    <w:p w:rsidR="00465B19" w:rsidRDefault="00465B19" w:rsidP="00465B19">
      <w:pPr>
        <w:pBdr>
          <w:bottom w:val="single" w:sz="4" w:space="1" w:color="auto"/>
        </w:pBdr>
        <w:rPr>
          <w:sz w:val="28"/>
        </w:rPr>
      </w:pPr>
      <w:r>
        <w:rPr>
          <w:sz w:val="28"/>
        </w:rPr>
        <w:t>Remarques complémentaires</w:t>
      </w:r>
    </w:p>
    <w:p w:rsidR="00465B19" w:rsidRPr="00465B19" w:rsidRDefault="00465B19" w:rsidP="00465B19">
      <w:pPr>
        <w:jc w:val="both"/>
        <w:rPr>
          <w:i/>
          <w:sz w:val="24"/>
        </w:rPr>
      </w:pPr>
      <w:r w:rsidRPr="00465B19">
        <w:rPr>
          <w:i/>
          <w:sz w:val="24"/>
        </w:rPr>
        <w:t>L’outil mis en œuvre ici (Pearltrees Education) apporte un certain nombre de fonctionnalités intéressantes liées au travail collaboratif (notion d’équipe) mais, à ce jour, ne permet pas d’</w:t>
      </w:r>
      <w:r>
        <w:rPr>
          <w:i/>
          <w:sz w:val="24"/>
        </w:rPr>
        <w:t>intégrer de flux RSS. C</w:t>
      </w:r>
      <w:r w:rsidRPr="00465B19">
        <w:rPr>
          <w:i/>
          <w:sz w:val="24"/>
        </w:rPr>
        <w:t>’est dommage du point de vue de la notion de veille même. Les étudiants peuvent toutefois activer d’autres dispositifs d’alerte intégrés à des outils tels que le Mementis Francis Lefebvre ou gratuits tels que Google Alerts.</w:t>
      </w:r>
    </w:p>
    <w:sectPr w:rsidR="00465B19" w:rsidRPr="00465B19" w:rsidSect="00550A7A">
      <w:footerReference w:type="default" r:id="rId9"/>
      <w:pgSz w:w="11906" w:h="16838"/>
      <w:pgMar w:top="568"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6C" w:rsidRDefault="00862B6C" w:rsidP="00B81B17">
      <w:r>
        <w:separator/>
      </w:r>
    </w:p>
  </w:endnote>
  <w:endnote w:type="continuationSeparator" w:id="1">
    <w:p w:rsidR="00862B6C" w:rsidRDefault="00862B6C" w:rsidP="00B81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08" w:rsidRDefault="00CB0697" w:rsidP="00B81B17">
    <w:pPr>
      <w:pStyle w:val="Pieddepage"/>
      <w:pBdr>
        <w:top w:val="thinThickSmallGap" w:sz="24" w:space="1" w:color="622423" w:themeColor="accent2" w:themeShade="7F"/>
      </w:pBdr>
      <w:tabs>
        <w:tab w:val="clear" w:pos="9072"/>
        <w:tab w:val="left" w:pos="8364"/>
        <w:tab w:val="right" w:pos="10485"/>
      </w:tabs>
      <w:rPr>
        <w:rFonts w:asciiTheme="majorHAnsi" w:hAnsiTheme="majorHAnsi"/>
      </w:rPr>
    </w:pPr>
    <w:r>
      <w:rPr>
        <w:rFonts w:asciiTheme="majorHAnsi" w:hAnsiTheme="majorHAnsi"/>
      </w:rPr>
      <w:t>CG</w:t>
    </w:r>
    <w:r w:rsidR="00165C08">
      <w:rPr>
        <w:rFonts w:asciiTheme="majorHAnsi" w:hAnsiTheme="majorHAnsi"/>
      </w:rPr>
      <w:t>1</w:t>
    </w:r>
    <w:r w:rsidR="00165C08">
      <w:rPr>
        <w:rFonts w:asciiTheme="majorHAnsi" w:hAnsiTheme="majorHAnsi"/>
      </w:rPr>
      <w:tab/>
      <w:t xml:space="preserve">Veille informationnelle </w:t>
    </w:r>
    <w:r w:rsidR="00165C08">
      <w:rPr>
        <w:rFonts w:asciiTheme="majorHAnsi" w:hAnsiTheme="majorHAnsi"/>
      </w:rPr>
      <w:tab/>
      <w:t>TD n°1 – 2016/2017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6C" w:rsidRDefault="00862B6C" w:rsidP="00B81B17">
      <w:r>
        <w:separator/>
      </w:r>
    </w:p>
  </w:footnote>
  <w:footnote w:type="continuationSeparator" w:id="1">
    <w:p w:rsidR="00862B6C" w:rsidRDefault="00862B6C" w:rsidP="00B81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954"/>
    <w:multiLevelType w:val="hybridMultilevel"/>
    <w:tmpl w:val="8F6A78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9CF20B8"/>
    <w:multiLevelType w:val="hybridMultilevel"/>
    <w:tmpl w:val="0CA8F9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0F22B7"/>
    <w:multiLevelType w:val="hybridMultilevel"/>
    <w:tmpl w:val="E3D60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0C57D3"/>
    <w:multiLevelType w:val="hybridMultilevel"/>
    <w:tmpl w:val="35321CB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53035252"/>
    <w:multiLevelType w:val="hybridMultilevel"/>
    <w:tmpl w:val="CD76D1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63586F5C"/>
    <w:multiLevelType w:val="hybridMultilevel"/>
    <w:tmpl w:val="E1D2F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0C0FB1"/>
    <w:multiLevelType w:val="hybridMultilevel"/>
    <w:tmpl w:val="18528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86E558F"/>
    <w:multiLevelType w:val="hybridMultilevel"/>
    <w:tmpl w:val="E7229E3C"/>
    <w:lvl w:ilvl="0" w:tplc="53E03606">
      <w:start w:val="3"/>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3D91"/>
    <w:rsid w:val="00003E6C"/>
    <w:rsid w:val="0002645B"/>
    <w:rsid w:val="000269FC"/>
    <w:rsid w:val="00033791"/>
    <w:rsid w:val="000415C7"/>
    <w:rsid w:val="00053F26"/>
    <w:rsid w:val="00054445"/>
    <w:rsid w:val="0007684F"/>
    <w:rsid w:val="000813C2"/>
    <w:rsid w:val="000D0942"/>
    <w:rsid w:val="000E6A85"/>
    <w:rsid w:val="0010021D"/>
    <w:rsid w:val="00102DB1"/>
    <w:rsid w:val="0011276D"/>
    <w:rsid w:val="001415E1"/>
    <w:rsid w:val="00142304"/>
    <w:rsid w:val="00165C08"/>
    <w:rsid w:val="001855C7"/>
    <w:rsid w:val="001967F2"/>
    <w:rsid w:val="001A3EB6"/>
    <w:rsid w:val="001A68FA"/>
    <w:rsid w:val="001B1924"/>
    <w:rsid w:val="001D47AF"/>
    <w:rsid w:val="001E575D"/>
    <w:rsid w:val="001F5903"/>
    <w:rsid w:val="0020001C"/>
    <w:rsid w:val="00201D69"/>
    <w:rsid w:val="00223161"/>
    <w:rsid w:val="002275C2"/>
    <w:rsid w:val="00227F70"/>
    <w:rsid w:val="00231F87"/>
    <w:rsid w:val="0026551E"/>
    <w:rsid w:val="0027231D"/>
    <w:rsid w:val="00274D83"/>
    <w:rsid w:val="00281047"/>
    <w:rsid w:val="002900BC"/>
    <w:rsid w:val="002A6C6F"/>
    <w:rsid w:val="002B74D2"/>
    <w:rsid w:val="002C2701"/>
    <w:rsid w:val="00300DD8"/>
    <w:rsid w:val="00324E40"/>
    <w:rsid w:val="0033461A"/>
    <w:rsid w:val="0034598B"/>
    <w:rsid w:val="00346E56"/>
    <w:rsid w:val="00374CBE"/>
    <w:rsid w:val="00394852"/>
    <w:rsid w:val="003970D6"/>
    <w:rsid w:val="003C57E5"/>
    <w:rsid w:val="003D7CF8"/>
    <w:rsid w:val="00401B06"/>
    <w:rsid w:val="00413E1D"/>
    <w:rsid w:val="0041691B"/>
    <w:rsid w:val="00426A5F"/>
    <w:rsid w:val="00460882"/>
    <w:rsid w:val="00461CD0"/>
    <w:rsid w:val="00463915"/>
    <w:rsid w:val="00465B19"/>
    <w:rsid w:val="0047441B"/>
    <w:rsid w:val="00475FAF"/>
    <w:rsid w:val="004801BB"/>
    <w:rsid w:val="0048098B"/>
    <w:rsid w:val="00480B34"/>
    <w:rsid w:val="004839BC"/>
    <w:rsid w:val="0049049D"/>
    <w:rsid w:val="004A607C"/>
    <w:rsid w:val="004A6E6E"/>
    <w:rsid w:val="004B0C15"/>
    <w:rsid w:val="004E7162"/>
    <w:rsid w:val="004E7262"/>
    <w:rsid w:val="004F019C"/>
    <w:rsid w:val="0050167C"/>
    <w:rsid w:val="0051519C"/>
    <w:rsid w:val="005221C2"/>
    <w:rsid w:val="0052361E"/>
    <w:rsid w:val="005305CC"/>
    <w:rsid w:val="005379D5"/>
    <w:rsid w:val="00550A7A"/>
    <w:rsid w:val="00551DD5"/>
    <w:rsid w:val="00573D68"/>
    <w:rsid w:val="00576136"/>
    <w:rsid w:val="00581CD1"/>
    <w:rsid w:val="005834B2"/>
    <w:rsid w:val="00585915"/>
    <w:rsid w:val="00593D91"/>
    <w:rsid w:val="005A5A2E"/>
    <w:rsid w:val="005B0077"/>
    <w:rsid w:val="005B5309"/>
    <w:rsid w:val="005C30C9"/>
    <w:rsid w:val="005C63E2"/>
    <w:rsid w:val="005C67AB"/>
    <w:rsid w:val="005D1895"/>
    <w:rsid w:val="006013AB"/>
    <w:rsid w:val="0065678C"/>
    <w:rsid w:val="00663FFE"/>
    <w:rsid w:val="006700F5"/>
    <w:rsid w:val="006864ED"/>
    <w:rsid w:val="006A26D3"/>
    <w:rsid w:val="006B03AC"/>
    <w:rsid w:val="006B1A7F"/>
    <w:rsid w:val="006B2655"/>
    <w:rsid w:val="006B399C"/>
    <w:rsid w:val="006B4CB0"/>
    <w:rsid w:val="006C296B"/>
    <w:rsid w:val="006C61C8"/>
    <w:rsid w:val="006D2846"/>
    <w:rsid w:val="006D6AAC"/>
    <w:rsid w:val="006E0FF1"/>
    <w:rsid w:val="006F450F"/>
    <w:rsid w:val="006F6F0E"/>
    <w:rsid w:val="00707C8B"/>
    <w:rsid w:val="0071624E"/>
    <w:rsid w:val="0073407A"/>
    <w:rsid w:val="00742382"/>
    <w:rsid w:val="0075131C"/>
    <w:rsid w:val="00771190"/>
    <w:rsid w:val="00787917"/>
    <w:rsid w:val="00790084"/>
    <w:rsid w:val="007A0AD9"/>
    <w:rsid w:val="007A5819"/>
    <w:rsid w:val="007A760F"/>
    <w:rsid w:val="007C0755"/>
    <w:rsid w:val="007C37D2"/>
    <w:rsid w:val="007D5BF0"/>
    <w:rsid w:val="007F3F22"/>
    <w:rsid w:val="00800084"/>
    <w:rsid w:val="008009B0"/>
    <w:rsid w:val="00804EF9"/>
    <w:rsid w:val="0081211F"/>
    <w:rsid w:val="008154D6"/>
    <w:rsid w:val="00823544"/>
    <w:rsid w:val="0083152C"/>
    <w:rsid w:val="00841906"/>
    <w:rsid w:val="008429E6"/>
    <w:rsid w:val="008514D3"/>
    <w:rsid w:val="0086123B"/>
    <w:rsid w:val="00862B6C"/>
    <w:rsid w:val="00877719"/>
    <w:rsid w:val="00883E86"/>
    <w:rsid w:val="008A0A54"/>
    <w:rsid w:val="008B0EC6"/>
    <w:rsid w:val="008B7927"/>
    <w:rsid w:val="008C1803"/>
    <w:rsid w:val="008C2D47"/>
    <w:rsid w:val="008D7CD2"/>
    <w:rsid w:val="008E2854"/>
    <w:rsid w:val="008E3C67"/>
    <w:rsid w:val="008E6BAD"/>
    <w:rsid w:val="008F389C"/>
    <w:rsid w:val="0090367C"/>
    <w:rsid w:val="00906280"/>
    <w:rsid w:val="00906ABD"/>
    <w:rsid w:val="00920731"/>
    <w:rsid w:val="00922FBF"/>
    <w:rsid w:val="009246F1"/>
    <w:rsid w:val="00926A66"/>
    <w:rsid w:val="009275FE"/>
    <w:rsid w:val="009321A9"/>
    <w:rsid w:val="00950A68"/>
    <w:rsid w:val="00961ABF"/>
    <w:rsid w:val="009715CB"/>
    <w:rsid w:val="00974A6A"/>
    <w:rsid w:val="009768E3"/>
    <w:rsid w:val="00980E3D"/>
    <w:rsid w:val="009A095B"/>
    <w:rsid w:val="009A7755"/>
    <w:rsid w:val="009B3CAB"/>
    <w:rsid w:val="009D5D5F"/>
    <w:rsid w:val="009E543A"/>
    <w:rsid w:val="009F17C2"/>
    <w:rsid w:val="009F5132"/>
    <w:rsid w:val="00A071CF"/>
    <w:rsid w:val="00A1152E"/>
    <w:rsid w:val="00A31B54"/>
    <w:rsid w:val="00A636C9"/>
    <w:rsid w:val="00A72026"/>
    <w:rsid w:val="00A90041"/>
    <w:rsid w:val="00A93681"/>
    <w:rsid w:val="00AA22F9"/>
    <w:rsid w:val="00AB269F"/>
    <w:rsid w:val="00AB5D5A"/>
    <w:rsid w:val="00AD29B2"/>
    <w:rsid w:val="00AF51CE"/>
    <w:rsid w:val="00B31EDB"/>
    <w:rsid w:val="00B4574A"/>
    <w:rsid w:val="00B476FA"/>
    <w:rsid w:val="00B47FC4"/>
    <w:rsid w:val="00B52075"/>
    <w:rsid w:val="00B54E88"/>
    <w:rsid w:val="00B57DE1"/>
    <w:rsid w:val="00B65859"/>
    <w:rsid w:val="00B8080F"/>
    <w:rsid w:val="00B81B17"/>
    <w:rsid w:val="00B902E7"/>
    <w:rsid w:val="00B90EC7"/>
    <w:rsid w:val="00B94A19"/>
    <w:rsid w:val="00B94CEC"/>
    <w:rsid w:val="00BB0DCC"/>
    <w:rsid w:val="00BB615F"/>
    <w:rsid w:val="00BD57CB"/>
    <w:rsid w:val="00BE43BF"/>
    <w:rsid w:val="00BF357E"/>
    <w:rsid w:val="00BF461D"/>
    <w:rsid w:val="00C24545"/>
    <w:rsid w:val="00C2501D"/>
    <w:rsid w:val="00C3267B"/>
    <w:rsid w:val="00C77838"/>
    <w:rsid w:val="00C83828"/>
    <w:rsid w:val="00C85F5A"/>
    <w:rsid w:val="00C908DC"/>
    <w:rsid w:val="00C924D8"/>
    <w:rsid w:val="00C96DC6"/>
    <w:rsid w:val="00CA1796"/>
    <w:rsid w:val="00CB0697"/>
    <w:rsid w:val="00CB103B"/>
    <w:rsid w:val="00CD0C1A"/>
    <w:rsid w:val="00CE0CCE"/>
    <w:rsid w:val="00CE3E79"/>
    <w:rsid w:val="00CF038C"/>
    <w:rsid w:val="00D1769F"/>
    <w:rsid w:val="00D23A96"/>
    <w:rsid w:val="00D52238"/>
    <w:rsid w:val="00D52B9B"/>
    <w:rsid w:val="00D64D34"/>
    <w:rsid w:val="00D70B8F"/>
    <w:rsid w:val="00D80EAF"/>
    <w:rsid w:val="00DA59A7"/>
    <w:rsid w:val="00DB395A"/>
    <w:rsid w:val="00DC5CEB"/>
    <w:rsid w:val="00DD0A2D"/>
    <w:rsid w:val="00DD2D9B"/>
    <w:rsid w:val="00DD49A3"/>
    <w:rsid w:val="00DE65DE"/>
    <w:rsid w:val="00DE7B94"/>
    <w:rsid w:val="00DF02F2"/>
    <w:rsid w:val="00DF1026"/>
    <w:rsid w:val="00DF4FFA"/>
    <w:rsid w:val="00DF50C3"/>
    <w:rsid w:val="00E1088C"/>
    <w:rsid w:val="00E459B5"/>
    <w:rsid w:val="00E50DDA"/>
    <w:rsid w:val="00E51002"/>
    <w:rsid w:val="00E71CE5"/>
    <w:rsid w:val="00E725B7"/>
    <w:rsid w:val="00E76526"/>
    <w:rsid w:val="00E94012"/>
    <w:rsid w:val="00E97E5F"/>
    <w:rsid w:val="00EA29F1"/>
    <w:rsid w:val="00EB28B5"/>
    <w:rsid w:val="00EB4553"/>
    <w:rsid w:val="00EB5DDB"/>
    <w:rsid w:val="00EC0A58"/>
    <w:rsid w:val="00EC434D"/>
    <w:rsid w:val="00EC5AA0"/>
    <w:rsid w:val="00EC7FF6"/>
    <w:rsid w:val="00ED3B6D"/>
    <w:rsid w:val="00EE04C5"/>
    <w:rsid w:val="00EF00F4"/>
    <w:rsid w:val="00F10FD8"/>
    <w:rsid w:val="00F117A3"/>
    <w:rsid w:val="00F16726"/>
    <w:rsid w:val="00F21F1C"/>
    <w:rsid w:val="00F22940"/>
    <w:rsid w:val="00F26B54"/>
    <w:rsid w:val="00F34785"/>
    <w:rsid w:val="00F371B1"/>
    <w:rsid w:val="00F43D99"/>
    <w:rsid w:val="00F571FF"/>
    <w:rsid w:val="00F60FF8"/>
    <w:rsid w:val="00F6175B"/>
    <w:rsid w:val="00F7143D"/>
    <w:rsid w:val="00F7157B"/>
    <w:rsid w:val="00F845E5"/>
    <w:rsid w:val="00F9746A"/>
    <w:rsid w:val="00FA3DDB"/>
    <w:rsid w:val="00FA4C23"/>
    <w:rsid w:val="00FB0207"/>
    <w:rsid w:val="00FB1C89"/>
    <w:rsid w:val="00FB7E6F"/>
    <w:rsid w:val="00FC333E"/>
    <w:rsid w:val="00FF53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D91"/>
    <w:pPr>
      <w:ind w:left="720"/>
      <w:contextualSpacing/>
    </w:pPr>
  </w:style>
  <w:style w:type="paragraph" w:styleId="En-tte">
    <w:name w:val="header"/>
    <w:basedOn w:val="Normal"/>
    <w:link w:val="En-tteCar"/>
    <w:uiPriority w:val="99"/>
    <w:semiHidden/>
    <w:unhideWhenUsed/>
    <w:rsid w:val="00B81B17"/>
    <w:pPr>
      <w:tabs>
        <w:tab w:val="center" w:pos="4536"/>
        <w:tab w:val="right" w:pos="9072"/>
      </w:tabs>
    </w:pPr>
  </w:style>
  <w:style w:type="character" w:customStyle="1" w:styleId="En-tteCar">
    <w:name w:val="En-tête Car"/>
    <w:basedOn w:val="Policepardfaut"/>
    <w:link w:val="En-tte"/>
    <w:uiPriority w:val="99"/>
    <w:semiHidden/>
    <w:rsid w:val="00B81B17"/>
  </w:style>
  <w:style w:type="paragraph" w:styleId="Pieddepage">
    <w:name w:val="footer"/>
    <w:basedOn w:val="Normal"/>
    <w:link w:val="PieddepageCar"/>
    <w:uiPriority w:val="99"/>
    <w:unhideWhenUsed/>
    <w:rsid w:val="00B81B17"/>
    <w:pPr>
      <w:tabs>
        <w:tab w:val="center" w:pos="4536"/>
        <w:tab w:val="right" w:pos="9072"/>
      </w:tabs>
    </w:pPr>
  </w:style>
  <w:style w:type="character" w:customStyle="1" w:styleId="PieddepageCar">
    <w:name w:val="Pied de page Car"/>
    <w:basedOn w:val="Policepardfaut"/>
    <w:link w:val="Pieddepage"/>
    <w:uiPriority w:val="99"/>
    <w:rsid w:val="00B81B17"/>
  </w:style>
  <w:style w:type="paragraph" w:styleId="Textedebulles">
    <w:name w:val="Balloon Text"/>
    <w:basedOn w:val="Normal"/>
    <w:link w:val="TextedebullesCar"/>
    <w:uiPriority w:val="99"/>
    <w:semiHidden/>
    <w:unhideWhenUsed/>
    <w:rsid w:val="00B81B17"/>
    <w:rPr>
      <w:rFonts w:ascii="Tahoma" w:hAnsi="Tahoma" w:cs="Tahoma"/>
      <w:sz w:val="16"/>
      <w:szCs w:val="16"/>
    </w:rPr>
  </w:style>
  <w:style w:type="character" w:customStyle="1" w:styleId="TextedebullesCar">
    <w:name w:val="Texte de bulles Car"/>
    <w:basedOn w:val="Policepardfaut"/>
    <w:link w:val="Textedebulles"/>
    <w:uiPriority w:val="99"/>
    <w:semiHidden/>
    <w:rsid w:val="00B81B17"/>
    <w:rPr>
      <w:rFonts w:ascii="Tahoma" w:hAnsi="Tahoma" w:cs="Tahoma"/>
      <w:sz w:val="16"/>
      <w:szCs w:val="16"/>
    </w:rPr>
  </w:style>
  <w:style w:type="table" w:styleId="Grilledutableau">
    <w:name w:val="Table Grid"/>
    <w:basedOn w:val="TableauNormal"/>
    <w:uiPriority w:val="59"/>
    <w:unhideWhenUsed/>
    <w:rsid w:val="00F26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389C"/>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F389C"/>
    <w:rPr>
      <w:b/>
      <w:bCs/>
    </w:rPr>
  </w:style>
  <w:style w:type="character" w:styleId="Lienhypertexte">
    <w:name w:val="Hyperlink"/>
    <w:basedOn w:val="Policepardfaut"/>
    <w:uiPriority w:val="99"/>
    <w:unhideWhenUsed/>
    <w:rsid w:val="008F3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2262" TargetMode="External"/><Relationship Id="rId3" Type="http://schemas.openxmlformats.org/officeDocument/2006/relationships/settings" Target="settings.xml"/><Relationship Id="rId7" Type="http://schemas.openxmlformats.org/officeDocument/2006/relationships/hyperlink" Target="http://travail-emploi.gouv.fr/droit-du-travail/temps-de-travail-et-conges/conges-et-absences/article/les-conges-pa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1010</Words>
  <Characters>5557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0wn Inc.</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Veille informationnelle</dc:title>
  <dc:subject>Corrigé indicatif</dc:subject>
  <dc:creator>P. PARISOT</dc:creator>
  <cp:keywords>Veille informationnelle</cp:keywords>
  <dc:description>Corrigé sujet à obsolescence rapide compte tenu du thème de recherche</dc:description>
  <cp:lastModifiedBy>Pascal Parisot</cp:lastModifiedBy>
  <cp:revision>6</cp:revision>
  <dcterms:created xsi:type="dcterms:W3CDTF">2017-02-27T09:37:00Z</dcterms:created>
  <dcterms:modified xsi:type="dcterms:W3CDTF">2017-02-27T13:16:00Z</dcterms:modified>
</cp:coreProperties>
</file>