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9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949"/>
        <w:gridCol w:w="6949"/>
      </w:tblGrid>
      <w:tr w:rsidR="00DA791B" w:rsidTr="00D447E8">
        <w:trPr>
          <w:trHeight w:val="180"/>
        </w:trPr>
        <w:tc>
          <w:tcPr>
            <w:tcW w:w="13898" w:type="dxa"/>
            <w:gridSpan w:val="2"/>
          </w:tcPr>
          <w:p w:rsidR="00DA791B" w:rsidRPr="00D447E8" w:rsidRDefault="00DA791B" w:rsidP="00D447E8">
            <w:pPr>
              <w:pStyle w:val="Default"/>
              <w:rPr>
                <w:rFonts w:ascii="Arial Narrow" w:hAnsi="Arial Narrow"/>
                <w:b/>
                <w:color w:val="auto"/>
                <w:sz w:val="28"/>
              </w:rPr>
            </w:pPr>
          </w:p>
          <w:p w:rsidR="00D447E8" w:rsidRPr="000F5A95" w:rsidRDefault="00D447E8" w:rsidP="00D447E8">
            <w:pPr>
              <w:pStyle w:val="Default"/>
              <w:jc w:val="center"/>
              <w:rPr>
                <w:rFonts w:ascii="Arial Narrow" w:hAnsi="Arial Narrow"/>
                <w:bCs/>
                <w:color w:val="auto"/>
                <w:sz w:val="32"/>
                <w:szCs w:val="28"/>
              </w:rPr>
            </w:pPr>
            <w:r w:rsidRPr="000F5A95">
              <w:rPr>
                <w:rFonts w:ascii="Arial Narrow" w:hAnsi="Arial Narrow"/>
                <w:bCs/>
                <w:color w:val="auto"/>
                <w:sz w:val="32"/>
                <w:szCs w:val="28"/>
              </w:rPr>
              <w:t>Annexe 3</w:t>
            </w:r>
          </w:p>
          <w:p w:rsidR="00D447E8" w:rsidRPr="00D447E8" w:rsidRDefault="00D447E8" w:rsidP="00D447E8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32"/>
                <w:szCs w:val="28"/>
              </w:rPr>
            </w:pPr>
          </w:p>
          <w:p w:rsidR="00DA791B" w:rsidRPr="00D447E8" w:rsidRDefault="00D447E8" w:rsidP="00D447E8">
            <w:pPr>
              <w:pStyle w:val="Default"/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>
              <w:rPr>
                <w:rFonts w:ascii="Arial Narrow" w:hAnsi="Arial Narrow"/>
                <w:b/>
                <w:bCs/>
                <w:sz w:val="32"/>
                <w:szCs w:val="28"/>
              </w:rPr>
              <w:t xml:space="preserve">   </w:t>
            </w:r>
            <w:r w:rsidRPr="000F5A95">
              <w:rPr>
                <w:rFonts w:ascii="Arial Narrow" w:hAnsi="Arial Narrow"/>
                <w:bCs/>
                <w:sz w:val="32"/>
                <w:szCs w:val="28"/>
              </w:rPr>
              <w:t xml:space="preserve"> </w:t>
            </w:r>
            <w:r w:rsidR="000F5A95" w:rsidRPr="000F5A95">
              <w:rPr>
                <w:rFonts w:ascii="Arial Narrow" w:hAnsi="Arial Narrow"/>
                <w:bCs/>
                <w:sz w:val="32"/>
                <w:szCs w:val="28"/>
              </w:rPr>
              <w:t>Un</w:t>
            </w:r>
            <w:r w:rsidR="000F5A95">
              <w:rPr>
                <w:rFonts w:ascii="Arial Narrow" w:hAnsi="Arial Narrow"/>
                <w:b/>
                <w:bCs/>
                <w:sz w:val="32"/>
                <w:szCs w:val="28"/>
              </w:rPr>
              <w:t xml:space="preserve"> </w:t>
            </w:r>
            <w:r w:rsidR="000F5A95" w:rsidRPr="000F5A95">
              <w:rPr>
                <w:rFonts w:ascii="Arial Narrow" w:hAnsi="Arial Narrow"/>
                <w:bCs/>
                <w:sz w:val="32"/>
                <w:szCs w:val="28"/>
              </w:rPr>
              <w:t xml:space="preserve">exemple de transversalité entre savoirs </w:t>
            </w:r>
            <w:r w:rsidR="00DA791B" w:rsidRPr="000F5A95">
              <w:rPr>
                <w:rFonts w:ascii="Arial Narrow" w:hAnsi="Arial Narrow"/>
                <w:bCs/>
                <w:sz w:val="32"/>
                <w:szCs w:val="28"/>
              </w:rPr>
              <w:t xml:space="preserve"> et CEJM appliquée</w:t>
            </w:r>
          </w:p>
          <w:p w:rsidR="00DA791B" w:rsidRPr="00D447E8" w:rsidRDefault="00DA791B" w:rsidP="00D447E8">
            <w:pPr>
              <w:pStyle w:val="Default"/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:rsidR="00DA791B" w:rsidRPr="00D447E8" w:rsidRDefault="00DA791B" w:rsidP="00D447E8">
            <w:pPr>
              <w:pStyle w:val="Default"/>
              <w:jc w:val="center"/>
              <w:rPr>
                <w:rFonts w:ascii="Arial Narrow" w:hAnsi="Arial Narrow"/>
                <w:bCs/>
                <w:sz w:val="32"/>
                <w:szCs w:val="28"/>
              </w:rPr>
            </w:pPr>
            <w:r w:rsidRPr="00D447E8">
              <w:rPr>
                <w:rFonts w:ascii="Arial Narrow" w:hAnsi="Arial Narrow"/>
                <w:b/>
                <w:bCs/>
                <w:sz w:val="32"/>
                <w:szCs w:val="28"/>
              </w:rPr>
              <w:t xml:space="preserve">Bloc de compétence n°1 : </w:t>
            </w:r>
            <w:r w:rsidRPr="00D447E8">
              <w:rPr>
                <w:rFonts w:ascii="Arial Narrow" w:hAnsi="Arial Narrow"/>
                <w:bCs/>
                <w:sz w:val="32"/>
                <w:szCs w:val="28"/>
              </w:rPr>
              <w:t>Développer la relation client et assurer la vente conseil</w:t>
            </w:r>
          </w:p>
          <w:p w:rsidR="00DA791B" w:rsidRDefault="00DA791B" w:rsidP="00D447E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5949"/>
              <w:gridCol w:w="7718"/>
            </w:tblGrid>
            <w:tr w:rsidR="00DA791B" w:rsidTr="002900EE">
              <w:tc>
                <w:tcPr>
                  <w:tcW w:w="13667" w:type="dxa"/>
                  <w:gridSpan w:val="2"/>
                  <w:shd w:val="clear" w:color="auto" w:fill="F2DBDB" w:themeFill="accent2" w:themeFillTint="33"/>
                </w:tcPr>
                <w:p w:rsidR="00DA791B" w:rsidRPr="002900EE" w:rsidRDefault="002900EE" w:rsidP="00D447E8">
                  <w:pPr>
                    <w:pStyle w:val="Default"/>
                    <w:framePr w:hSpace="141" w:wrap="around" w:vAnchor="text" w:hAnchor="margin" w:y="-395"/>
                    <w:rPr>
                      <w:sz w:val="28"/>
                      <w:szCs w:val="28"/>
                    </w:rPr>
                  </w:pPr>
                  <w:r w:rsidRPr="002900E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■</w:t>
                  </w:r>
                  <w:r w:rsidRPr="002900EE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="00DA791B" w:rsidRPr="002900EE">
                    <w:rPr>
                      <w:bCs/>
                      <w:iCs/>
                      <w:sz w:val="28"/>
                      <w:szCs w:val="28"/>
                    </w:rPr>
                    <w:t xml:space="preserve">Assurer la veille informationnelle </w:t>
                  </w:r>
                </w:p>
                <w:p w:rsidR="00DA791B" w:rsidRPr="002900EE" w:rsidRDefault="002900EE" w:rsidP="00D447E8">
                  <w:pPr>
                    <w:pStyle w:val="Default"/>
                    <w:framePr w:hSpace="141" w:wrap="around" w:vAnchor="text" w:hAnchor="margin" w:y="-395"/>
                    <w:rPr>
                      <w:sz w:val="28"/>
                      <w:szCs w:val="28"/>
                    </w:rPr>
                  </w:pPr>
                  <w:r w:rsidRPr="002900E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■</w:t>
                  </w:r>
                  <w:r w:rsidRPr="002900EE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="00DA791B" w:rsidRPr="002900EE">
                    <w:rPr>
                      <w:bCs/>
                      <w:iCs/>
                      <w:sz w:val="28"/>
                      <w:szCs w:val="28"/>
                    </w:rPr>
                    <w:t xml:space="preserve">Réaliser et exploiter des études commerciales </w:t>
                  </w:r>
                </w:p>
                <w:p w:rsidR="00DA791B" w:rsidRPr="002900EE" w:rsidRDefault="002900EE" w:rsidP="00D447E8">
                  <w:pPr>
                    <w:pStyle w:val="Default"/>
                    <w:framePr w:hSpace="141" w:wrap="around" w:vAnchor="text" w:hAnchor="margin" w:y="-395"/>
                    <w:rPr>
                      <w:sz w:val="28"/>
                      <w:szCs w:val="28"/>
                    </w:rPr>
                  </w:pPr>
                  <w:r w:rsidRPr="002900E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■ </w:t>
                  </w:r>
                  <w:r w:rsidR="00DA791B" w:rsidRPr="002900EE">
                    <w:rPr>
                      <w:bCs/>
                      <w:iCs/>
                      <w:sz w:val="28"/>
                      <w:szCs w:val="28"/>
                    </w:rPr>
                    <w:t xml:space="preserve">Vendre dans un contexte </w:t>
                  </w:r>
                  <w:r w:rsidR="00D447E8">
                    <w:rPr>
                      <w:bCs/>
                      <w:iCs/>
                      <w:sz w:val="28"/>
                      <w:szCs w:val="28"/>
                    </w:rPr>
                    <w:t>d’</w:t>
                  </w:r>
                  <w:proofErr w:type="spellStart"/>
                  <w:r w:rsidR="00D447E8">
                    <w:rPr>
                      <w:bCs/>
                      <w:iCs/>
                      <w:sz w:val="28"/>
                      <w:szCs w:val="28"/>
                    </w:rPr>
                    <w:t>omnicanalité</w:t>
                  </w:r>
                  <w:proofErr w:type="spellEnd"/>
                </w:p>
                <w:p w:rsidR="00DA791B" w:rsidRPr="002900EE" w:rsidRDefault="002900EE" w:rsidP="00D447E8">
                  <w:pPr>
                    <w:pStyle w:val="Default"/>
                    <w:framePr w:hSpace="141" w:wrap="around" w:vAnchor="text" w:hAnchor="margin" w:y="-395"/>
                    <w:rPr>
                      <w:szCs w:val="28"/>
                    </w:rPr>
                  </w:pPr>
                  <w:r w:rsidRPr="002900E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■</w:t>
                  </w:r>
                  <w:r w:rsidRPr="002900EE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="00DA791B" w:rsidRPr="002900EE">
                    <w:rPr>
                      <w:bCs/>
                      <w:iCs/>
                      <w:sz w:val="28"/>
                      <w:szCs w:val="28"/>
                    </w:rPr>
                    <w:t>Entretenir la relation client</w:t>
                  </w:r>
                </w:p>
              </w:tc>
            </w:tr>
            <w:tr w:rsidR="00DA791B" w:rsidTr="002900EE">
              <w:tc>
                <w:tcPr>
                  <w:tcW w:w="5949" w:type="dxa"/>
                </w:tcPr>
                <w:p w:rsidR="00DA791B" w:rsidRPr="002900EE" w:rsidRDefault="00DA791B" w:rsidP="00D447E8">
                  <w:pPr>
                    <w:pStyle w:val="Default"/>
                    <w:framePr w:hSpace="141" w:wrap="around" w:vAnchor="text" w:hAnchor="margin" w:y="-395"/>
                    <w:jc w:val="center"/>
                    <w:rPr>
                      <w:sz w:val="28"/>
                      <w:szCs w:val="28"/>
                    </w:rPr>
                  </w:pPr>
                  <w:r w:rsidRPr="002900EE">
                    <w:rPr>
                      <w:b/>
                      <w:bCs/>
                      <w:sz w:val="28"/>
                      <w:szCs w:val="28"/>
                    </w:rPr>
                    <w:t>Savoirs associés</w:t>
                  </w:r>
                </w:p>
              </w:tc>
              <w:tc>
                <w:tcPr>
                  <w:tcW w:w="7718" w:type="dxa"/>
                </w:tcPr>
                <w:p w:rsidR="00DA791B" w:rsidRPr="002900EE" w:rsidRDefault="00DA791B" w:rsidP="00D447E8">
                  <w:pPr>
                    <w:pStyle w:val="Default"/>
                    <w:framePr w:hSpace="141" w:wrap="around" w:vAnchor="text" w:hAnchor="margin" w:y="-395"/>
                    <w:jc w:val="center"/>
                    <w:rPr>
                      <w:sz w:val="28"/>
                      <w:szCs w:val="28"/>
                    </w:rPr>
                  </w:pPr>
                  <w:r w:rsidRPr="002900EE">
                    <w:rPr>
                      <w:b/>
                      <w:bCs/>
                      <w:sz w:val="28"/>
                      <w:szCs w:val="28"/>
                    </w:rPr>
                    <w:t>Notions</w:t>
                  </w:r>
                </w:p>
              </w:tc>
            </w:tr>
            <w:tr w:rsidR="00DA791B" w:rsidTr="002900EE">
              <w:tc>
                <w:tcPr>
                  <w:tcW w:w="5949" w:type="dxa"/>
                  <w:shd w:val="clear" w:color="auto" w:fill="D6E3BC" w:themeFill="accent3" w:themeFillTint="66"/>
                  <w:vAlign w:val="center"/>
                </w:tcPr>
                <w:p w:rsidR="00723F05" w:rsidRDefault="00DA791B" w:rsidP="00D447E8">
                  <w:pPr>
                    <w:pStyle w:val="Default"/>
                    <w:framePr w:hSpace="141" w:wrap="around" w:vAnchor="text" w:hAnchor="margin" w:y="-395"/>
                    <w:jc w:val="center"/>
                    <w:rPr>
                      <w:rFonts w:ascii="Arial Narrow" w:hAnsi="Arial Narrow"/>
                      <w:b/>
                      <w:bCs/>
                      <w:szCs w:val="28"/>
                    </w:rPr>
                  </w:pPr>
                  <w:r w:rsidRPr="002900EE">
                    <w:rPr>
                      <w:rFonts w:ascii="Arial Narrow" w:hAnsi="Arial Narrow"/>
                      <w:b/>
                      <w:bCs/>
                      <w:szCs w:val="28"/>
                    </w:rPr>
                    <w:t xml:space="preserve">Le cadre légal et réglementaire de la relation client </w:t>
                  </w:r>
                </w:p>
                <w:p w:rsidR="00DA791B" w:rsidRPr="002900EE" w:rsidRDefault="00DA791B" w:rsidP="00D447E8">
                  <w:pPr>
                    <w:pStyle w:val="Default"/>
                    <w:framePr w:hSpace="141" w:wrap="around" w:vAnchor="text" w:hAnchor="margin" w:y="-395"/>
                    <w:jc w:val="center"/>
                    <w:rPr>
                      <w:rFonts w:ascii="Arial Narrow" w:hAnsi="Arial Narrow"/>
                      <w:szCs w:val="28"/>
                    </w:rPr>
                  </w:pPr>
                  <w:r w:rsidRPr="002900EE">
                    <w:rPr>
                      <w:rFonts w:ascii="Arial Narrow" w:hAnsi="Arial Narrow"/>
                      <w:b/>
                      <w:bCs/>
                      <w:szCs w:val="28"/>
                    </w:rPr>
                    <w:t>et de la vente conseil</w:t>
                  </w:r>
                </w:p>
              </w:tc>
              <w:tc>
                <w:tcPr>
                  <w:tcW w:w="7718" w:type="dxa"/>
                  <w:shd w:val="clear" w:color="auto" w:fill="D6E3BC" w:themeFill="accent3" w:themeFillTint="66"/>
                </w:tcPr>
                <w:p w:rsidR="00DA791B" w:rsidRPr="002900EE" w:rsidRDefault="00DA791B" w:rsidP="00D447E8">
                  <w:pPr>
                    <w:pStyle w:val="Default"/>
                    <w:framePr w:hSpace="141" w:wrap="around" w:vAnchor="text" w:hAnchor="margin" w:y="-395"/>
                    <w:rPr>
                      <w:rFonts w:ascii="Arial Narrow" w:hAnsi="Arial Narrow"/>
                      <w:szCs w:val="28"/>
                    </w:rPr>
                  </w:pPr>
                  <w:r w:rsidRPr="002900EE">
                    <w:rPr>
                      <w:rFonts w:ascii="Arial Narrow" w:hAnsi="Arial Narrow"/>
                      <w:bCs/>
                      <w:szCs w:val="28"/>
                    </w:rPr>
                    <w:t xml:space="preserve">La réglementation des méthodes de vente </w:t>
                  </w:r>
                </w:p>
                <w:p w:rsidR="00DA791B" w:rsidRPr="002900EE" w:rsidRDefault="00DA791B" w:rsidP="00D447E8">
                  <w:pPr>
                    <w:pStyle w:val="Default"/>
                    <w:framePr w:hSpace="141" w:wrap="around" w:vAnchor="text" w:hAnchor="margin" w:y="-395"/>
                    <w:rPr>
                      <w:rFonts w:ascii="Arial Narrow" w:hAnsi="Arial Narrow"/>
                      <w:szCs w:val="28"/>
                    </w:rPr>
                  </w:pPr>
                  <w:r w:rsidRPr="002900EE">
                    <w:rPr>
                      <w:rFonts w:ascii="Arial Narrow" w:hAnsi="Arial Narrow"/>
                      <w:bCs/>
                      <w:szCs w:val="28"/>
                    </w:rPr>
                    <w:t xml:space="preserve">La réglementation des méthodes de vente directe, à distance </w:t>
                  </w:r>
                </w:p>
                <w:p w:rsidR="00DA791B" w:rsidRPr="002900EE" w:rsidRDefault="00DA791B" w:rsidP="00D447E8">
                  <w:pPr>
                    <w:pStyle w:val="Default"/>
                    <w:framePr w:hSpace="141" w:wrap="around" w:vAnchor="text" w:hAnchor="margin" w:y="-395"/>
                    <w:rPr>
                      <w:rFonts w:ascii="Arial Narrow" w:hAnsi="Arial Narrow"/>
                      <w:szCs w:val="28"/>
                    </w:rPr>
                  </w:pPr>
                  <w:r w:rsidRPr="002900EE">
                    <w:rPr>
                      <w:rFonts w:ascii="Arial Narrow" w:hAnsi="Arial Narrow"/>
                      <w:bCs/>
                      <w:szCs w:val="28"/>
                    </w:rPr>
                    <w:t xml:space="preserve">La règlementation liée à la recherche, au stockage, au traitement et à la diffusion de l’information commerciale </w:t>
                  </w:r>
                </w:p>
                <w:p w:rsidR="00DA791B" w:rsidRPr="002900EE" w:rsidRDefault="00DA791B" w:rsidP="00D447E8">
                  <w:pPr>
                    <w:pStyle w:val="Default"/>
                    <w:framePr w:hSpace="141" w:wrap="around" w:vAnchor="text" w:hAnchor="margin" w:y="-395"/>
                    <w:rPr>
                      <w:rFonts w:ascii="Arial Narrow" w:hAnsi="Arial Narrow"/>
                      <w:szCs w:val="28"/>
                    </w:rPr>
                  </w:pPr>
                  <w:r w:rsidRPr="002900EE">
                    <w:rPr>
                      <w:rFonts w:ascii="Arial Narrow" w:hAnsi="Arial Narrow"/>
                      <w:bCs/>
                      <w:szCs w:val="28"/>
                    </w:rPr>
                    <w:t xml:space="preserve">La protection des données </w:t>
                  </w:r>
                </w:p>
                <w:p w:rsidR="00DA791B" w:rsidRPr="002900EE" w:rsidRDefault="00DA791B" w:rsidP="00D447E8">
                  <w:pPr>
                    <w:pStyle w:val="Default"/>
                    <w:framePr w:hSpace="141" w:wrap="around" w:vAnchor="text" w:hAnchor="margin" w:y="-395"/>
                    <w:rPr>
                      <w:rFonts w:ascii="Arial Narrow" w:hAnsi="Arial Narrow"/>
                      <w:szCs w:val="28"/>
                    </w:rPr>
                  </w:pPr>
                  <w:r w:rsidRPr="002900EE">
                    <w:rPr>
                      <w:rFonts w:ascii="Arial Narrow" w:hAnsi="Arial Narrow"/>
                      <w:bCs/>
                      <w:szCs w:val="28"/>
                    </w:rPr>
                    <w:t xml:space="preserve">Le contrat de vente </w:t>
                  </w:r>
                </w:p>
                <w:p w:rsidR="00DA791B" w:rsidRPr="002900EE" w:rsidRDefault="00DA791B" w:rsidP="00D447E8">
                  <w:pPr>
                    <w:pStyle w:val="Default"/>
                    <w:framePr w:hSpace="141" w:wrap="around" w:vAnchor="text" w:hAnchor="margin" w:y="-395"/>
                    <w:rPr>
                      <w:rFonts w:ascii="Arial Narrow" w:hAnsi="Arial Narrow"/>
                      <w:szCs w:val="28"/>
                    </w:rPr>
                  </w:pPr>
                  <w:r w:rsidRPr="002900EE">
                    <w:rPr>
                      <w:rFonts w:ascii="Arial Narrow" w:hAnsi="Arial Narrow"/>
                      <w:bCs/>
                      <w:szCs w:val="28"/>
                    </w:rPr>
                    <w:t xml:space="preserve">Les mentions obligatoires du contrat de vente </w:t>
                  </w:r>
                </w:p>
                <w:p w:rsidR="00DA791B" w:rsidRPr="002900EE" w:rsidRDefault="00DA791B" w:rsidP="00D447E8">
                  <w:pPr>
                    <w:pStyle w:val="Default"/>
                    <w:framePr w:hSpace="141" w:wrap="around" w:vAnchor="text" w:hAnchor="margin" w:y="-395"/>
                    <w:rPr>
                      <w:rFonts w:ascii="Arial Narrow" w:hAnsi="Arial Narrow"/>
                      <w:szCs w:val="28"/>
                    </w:rPr>
                  </w:pPr>
                  <w:r w:rsidRPr="002900EE">
                    <w:rPr>
                      <w:rFonts w:ascii="Arial Narrow" w:hAnsi="Arial Narrow"/>
                      <w:bCs/>
                      <w:szCs w:val="28"/>
                    </w:rPr>
                    <w:t xml:space="preserve">Les clauses abusives </w:t>
                  </w:r>
                </w:p>
                <w:p w:rsidR="00DA791B" w:rsidRPr="002900EE" w:rsidRDefault="00DA791B" w:rsidP="00D447E8">
                  <w:pPr>
                    <w:pStyle w:val="Default"/>
                    <w:framePr w:hSpace="141" w:wrap="around" w:vAnchor="text" w:hAnchor="margin" w:y="-395"/>
                    <w:rPr>
                      <w:rFonts w:ascii="Arial Narrow" w:hAnsi="Arial Narrow"/>
                      <w:szCs w:val="28"/>
                    </w:rPr>
                  </w:pPr>
                  <w:r w:rsidRPr="002900EE">
                    <w:rPr>
                      <w:rFonts w:ascii="Arial Narrow" w:hAnsi="Arial Narrow"/>
                      <w:bCs/>
                      <w:szCs w:val="28"/>
                    </w:rPr>
                    <w:t xml:space="preserve">La réglementation du marketing après-vente </w:t>
                  </w:r>
                </w:p>
                <w:p w:rsidR="00DA791B" w:rsidRPr="002900EE" w:rsidRDefault="00DA791B" w:rsidP="00D447E8">
                  <w:pPr>
                    <w:pStyle w:val="Default"/>
                    <w:framePr w:hSpace="141" w:wrap="around" w:vAnchor="text" w:hAnchor="margin" w:y="-395"/>
                    <w:rPr>
                      <w:rFonts w:ascii="Arial Narrow" w:hAnsi="Arial Narrow"/>
                      <w:szCs w:val="28"/>
                    </w:rPr>
                  </w:pPr>
                  <w:r w:rsidRPr="002900EE">
                    <w:rPr>
                      <w:rFonts w:ascii="Arial Narrow" w:hAnsi="Arial Narrow"/>
                      <w:bCs/>
                      <w:szCs w:val="28"/>
                    </w:rPr>
                    <w:t xml:space="preserve">La réglementation liée au marketing après-vente : </w:t>
                  </w:r>
                  <w:proofErr w:type="spellStart"/>
                  <w:r w:rsidRPr="002900EE">
                    <w:rPr>
                      <w:rFonts w:ascii="Arial Narrow" w:hAnsi="Arial Narrow"/>
                      <w:bCs/>
                      <w:szCs w:val="28"/>
                    </w:rPr>
                    <w:t>Opt</w:t>
                  </w:r>
                  <w:proofErr w:type="spellEnd"/>
                  <w:r w:rsidRPr="002900EE">
                    <w:rPr>
                      <w:rFonts w:ascii="Arial Narrow" w:hAnsi="Arial Narrow"/>
                      <w:bCs/>
                      <w:szCs w:val="28"/>
                    </w:rPr>
                    <w:t>-in, droit au désabonnement, identification de l’expéditeur, horaires d’envoi des campagnes de M-Mailing</w:t>
                  </w:r>
                </w:p>
              </w:tc>
            </w:tr>
            <w:tr w:rsidR="00DA791B" w:rsidTr="002900EE">
              <w:tc>
                <w:tcPr>
                  <w:tcW w:w="5949" w:type="dxa"/>
                  <w:shd w:val="clear" w:color="auto" w:fill="F2DBDB" w:themeFill="accent2" w:themeFillTint="33"/>
                  <w:vAlign w:val="center"/>
                </w:tcPr>
                <w:p w:rsidR="002900EE" w:rsidRPr="002900EE" w:rsidRDefault="002900EE" w:rsidP="00D447E8">
                  <w:pPr>
                    <w:pStyle w:val="Default"/>
                    <w:framePr w:hSpace="141" w:wrap="around" w:vAnchor="text" w:hAnchor="margin" w:y="-395"/>
                    <w:jc w:val="center"/>
                    <w:rPr>
                      <w:rFonts w:ascii="Arial Narrow" w:hAnsi="Arial Narrow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665"/>
                  </w:tblGrid>
                  <w:tr w:rsidR="002900EE" w:rsidRPr="002900EE" w:rsidTr="00723F05">
                    <w:trPr>
                      <w:trHeight w:val="201"/>
                    </w:trPr>
                    <w:tc>
                      <w:tcPr>
                        <w:tcW w:w="5665" w:type="dxa"/>
                      </w:tcPr>
                      <w:p w:rsidR="002900EE" w:rsidRPr="002900EE" w:rsidRDefault="002900EE" w:rsidP="00D447E8">
                        <w:pPr>
                          <w:pStyle w:val="Default"/>
                          <w:framePr w:hSpace="141" w:wrap="around" w:vAnchor="text" w:hAnchor="margin" w:y="-395"/>
                          <w:jc w:val="center"/>
                          <w:rPr>
                            <w:rFonts w:ascii="Arial Narrow" w:hAnsi="Arial Narrow"/>
                            <w:szCs w:val="28"/>
                          </w:rPr>
                        </w:pPr>
                        <w:r w:rsidRPr="002900EE">
                          <w:rPr>
                            <w:rFonts w:ascii="Arial Narrow" w:hAnsi="Arial Narrow"/>
                            <w:b/>
                            <w:bCs/>
                            <w:szCs w:val="28"/>
                          </w:rPr>
                          <w:t>La relation commerciale</w:t>
                        </w:r>
                      </w:p>
                    </w:tc>
                  </w:tr>
                </w:tbl>
                <w:p w:rsidR="00DA791B" w:rsidRPr="002900EE" w:rsidRDefault="00DA791B" w:rsidP="00D447E8">
                  <w:pPr>
                    <w:pStyle w:val="Default"/>
                    <w:framePr w:hSpace="141" w:wrap="around" w:vAnchor="text" w:hAnchor="margin" w:y="-395"/>
                    <w:jc w:val="center"/>
                    <w:rPr>
                      <w:rFonts w:ascii="Arial Narrow" w:hAnsi="Arial Narrow"/>
                      <w:szCs w:val="28"/>
                    </w:rPr>
                  </w:pPr>
                </w:p>
              </w:tc>
              <w:tc>
                <w:tcPr>
                  <w:tcW w:w="7718" w:type="dxa"/>
                  <w:shd w:val="clear" w:color="auto" w:fill="F2DBDB" w:themeFill="accent2" w:themeFillTint="33"/>
                </w:tcPr>
                <w:p w:rsidR="002900EE" w:rsidRPr="002900EE" w:rsidRDefault="002900EE" w:rsidP="00D447E8">
                  <w:pPr>
                    <w:pStyle w:val="Default"/>
                    <w:framePr w:hSpace="141" w:wrap="around" w:vAnchor="text" w:hAnchor="margin" w:y="-395"/>
                    <w:rPr>
                      <w:rFonts w:ascii="Arial Narrow" w:hAnsi="Arial Narrow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7976"/>
                  </w:tblGrid>
                  <w:tr w:rsidR="002900EE" w:rsidRPr="002900EE">
                    <w:trPr>
                      <w:trHeight w:val="1345"/>
                    </w:trPr>
                    <w:tc>
                      <w:tcPr>
                        <w:tcW w:w="7976" w:type="dxa"/>
                      </w:tcPr>
                      <w:p w:rsidR="002900EE" w:rsidRPr="002900EE" w:rsidRDefault="002900EE" w:rsidP="00D447E8">
                        <w:pPr>
                          <w:pStyle w:val="Default"/>
                          <w:framePr w:hSpace="141" w:wrap="around" w:vAnchor="text" w:hAnchor="margin" w:y="-395"/>
                          <w:rPr>
                            <w:rFonts w:ascii="Arial Narrow" w:hAnsi="Arial Narrow"/>
                            <w:szCs w:val="28"/>
                          </w:rPr>
                        </w:pPr>
                        <w:r w:rsidRPr="002900EE">
                          <w:rPr>
                            <w:rFonts w:ascii="Arial Narrow" w:hAnsi="Arial Narrow"/>
                            <w:szCs w:val="28"/>
                          </w:rPr>
                          <w:t xml:space="preserve"> </w:t>
                        </w:r>
                        <w:r w:rsidRPr="002900EE">
                          <w:rPr>
                            <w:rFonts w:ascii="Arial Narrow" w:hAnsi="Arial Narrow"/>
                            <w:b/>
                            <w:bCs/>
                            <w:szCs w:val="28"/>
                          </w:rPr>
                          <w:t xml:space="preserve">Les enjeux de la relation commerciale </w:t>
                        </w:r>
                      </w:p>
                      <w:p w:rsidR="002900EE" w:rsidRPr="002900EE" w:rsidRDefault="002900EE" w:rsidP="00D447E8">
                        <w:pPr>
                          <w:pStyle w:val="Default"/>
                          <w:framePr w:hSpace="141" w:wrap="around" w:vAnchor="text" w:hAnchor="margin" w:y="-395"/>
                          <w:rPr>
                            <w:rFonts w:ascii="Arial Narrow" w:hAnsi="Arial Narrow"/>
                            <w:szCs w:val="28"/>
                          </w:rPr>
                        </w:pPr>
                        <w:r w:rsidRPr="002900EE">
                          <w:rPr>
                            <w:rFonts w:ascii="Arial Narrow" w:hAnsi="Arial Narrow"/>
                            <w:szCs w:val="28"/>
                          </w:rPr>
                          <w:t xml:space="preserve">La notion de relation commerciale et ses enjeux </w:t>
                        </w:r>
                      </w:p>
                      <w:p w:rsidR="002900EE" w:rsidRPr="002900EE" w:rsidRDefault="002900EE" w:rsidP="00D447E8">
                        <w:pPr>
                          <w:pStyle w:val="Default"/>
                          <w:framePr w:hSpace="141" w:wrap="around" w:vAnchor="text" w:hAnchor="margin" w:y="-395"/>
                          <w:rPr>
                            <w:rFonts w:ascii="Arial Narrow" w:hAnsi="Arial Narrow"/>
                            <w:szCs w:val="28"/>
                          </w:rPr>
                        </w:pPr>
                        <w:r w:rsidRPr="002900EE">
                          <w:rPr>
                            <w:rFonts w:ascii="Arial Narrow" w:hAnsi="Arial Narrow"/>
                            <w:szCs w:val="28"/>
                          </w:rPr>
                          <w:t xml:space="preserve">Les objectifs de la gestion de la relation client (GRC) </w:t>
                        </w:r>
                      </w:p>
                      <w:p w:rsidR="002900EE" w:rsidRPr="002900EE" w:rsidRDefault="002900EE" w:rsidP="00D447E8">
                        <w:pPr>
                          <w:pStyle w:val="Default"/>
                          <w:framePr w:hSpace="141" w:wrap="around" w:vAnchor="text" w:hAnchor="margin" w:y="-395"/>
                          <w:rPr>
                            <w:rFonts w:ascii="Arial Narrow" w:hAnsi="Arial Narrow"/>
                            <w:szCs w:val="28"/>
                          </w:rPr>
                        </w:pPr>
                        <w:r w:rsidRPr="002900EE">
                          <w:rPr>
                            <w:rFonts w:ascii="Arial Narrow" w:hAnsi="Arial Narrow"/>
                            <w:szCs w:val="28"/>
                          </w:rPr>
                          <w:t xml:space="preserve">Le cycle de vie de la relation commerciale </w:t>
                        </w:r>
                      </w:p>
                      <w:p w:rsidR="002900EE" w:rsidRPr="002900EE" w:rsidRDefault="002900EE" w:rsidP="00D447E8">
                        <w:pPr>
                          <w:pStyle w:val="Default"/>
                          <w:framePr w:hSpace="141" w:wrap="around" w:vAnchor="text" w:hAnchor="margin" w:y="-395"/>
                          <w:rPr>
                            <w:rFonts w:ascii="Arial Narrow" w:hAnsi="Arial Narrow"/>
                            <w:szCs w:val="28"/>
                          </w:rPr>
                        </w:pPr>
                        <w:r w:rsidRPr="002900EE">
                          <w:rPr>
                            <w:rFonts w:ascii="Arial Narrow" w:hAnsi="Arial Narrow"/>
                            <w:szCs w:val="28"/>
                          </w:rPr>
                          <w:t xml:space="preserve">Les enjeux de la relation commerciale dans un cadre </w:t>
                        </w:r>
                        <w:proofErr w:type="spellStart"/>
                        <w:r w:rsidRPr="002900EE">
                          <w:rPr>
                            <w:rFonts w:ascii="Arial Narrow" w:hAnsi="Arial Narrow"/>
                            <w:szCs w:val="28"/>
                          </w:rPr>
                          <w:t>omnicanal</w:t>
                        </w:r>
                        <w:proofErr w:type="spellEnd"/>
                        <w:r w:rsidRPr="002900EE">
                          <w:rPr>
                            <w:rFonts w:ascii="Arial Narrow" w:hAnsi="Arial Narrow"/>
                            <w:szCs w:val="28"/>
                          </w:rPr>
                          <w:t xml:space="preserve"> </w:t>
                        </w:r>
                      </w:p>
                      <w:p w:rsidR="002900EE" w:rsidRPr="002900EE" w:rsidRDefault="002900EE" w:rsidP="00D447E8">
                        <w:pPr>
                          <w:pStyle w:val="Default"/>
                          <w:framePr w:hSpace="141" w:wrap="around" w:vAnchor="text" w:hAnchor="margin" w:y="-395"/>
                          <w:rPr>
                            <w:rFonts w:ascii="Arial Narrow" w:hAnsi="Arial Narrow"/>
                            <w:szCs w:val="28"/>
                          </w:rPr>
                        </w:pPr>
                        <w:r w:rsidRPr="002900EE">
                          <w:rPr>
                            <w:rFonts w:ascii="Arial Narrow" w:hAnsi="Arial Narrow"/>
                            <w:b/>
                            <w:bCs/>
                            <w:szCs w:val="28"/>
                          </w:rPr>
                          <w:t xml:space="preserve">La variété des contacts commerciaux </w:t>
                        </w:r>
                      </w:p>
                      <w:p w:rsidR="002900EE" w:rsidRPr="002900EE" w:rsidRDefault="002900EE" w:rsidP="00D447E8">
                        <w:pPr>
                          <w:pStyle w:val="Default"/>
                          <w:framePr w:hSpace="141" w:wrap="around" w:vAnchor="text" w:hAnchor="margin" w:y="-395"/>
                          <w:rPr>
                            <w:rFonts w:ascii="Arial Narrow" w:hAnsi="Arial Narrow"/>
                            <w:szCs w:val="28"/>
                          </w:rPr>
                        </w:pPr>
                        <w:r w:rsidRPr="002900EE">
                          <w:rPr>
                            <w:rFonts w:ascii="Arial Narrow" w:hAnsi="Arial Narrow"/>
                            <w:szCs w:val="28"/>
                          </w:rPr>
                          <w:t xml:space="preserve">La notion de contact commercial et la variété des contacts commerciaux en face à face et numériques (contact entre clients, clients-personnel de contact) </w:t>
                        </w:r>
                      </w:p>
                    </w:tc>
                  </w:tr>
                </w:tbl>
                <w:p w:rsidR="00DA791B" w:rsidRPr="002900EE" w:rsidRDefault="00DA791B" w:rsidP="00D447E8">
                  <w:pPr>
                    <w:pStyle w:val="Default"/>
                    <w:framePr w:hSpace="141" w:wrap="around" w:vAnchor="text" w:hAnchor="margin" w:y="-395"/>
                    <w:rPr>
                      <w:rFonts w:ascii="Arial Narrow" w:hAnsi="Arial Narrow"/>
                      <w:szCs w:val="28"/>
                    </w:rPr>
                  </w:pPr>
                </w:p>
              </w:tc>
            </w:tr>
          </w:tbl>
          <w:p w:rsidR="00DA791B" w:rsidRDefault="00DA791B" w:rsidP="00D447E8">
            <w:pPr>
              <w:pStyle w:val="Default"/>
              <w:rPr>
                <w:sz w:val="22"/>
                <w:szCs w:val="22"/>
              </w:rPr>
            </w:pPr>
          </w:p>
        </w:tc>
      </w:tr>
      <w:tr w:rsidR="00DA791B" w:rsidTr="00D447E8">
        <w:trPr>
          <w:trHeight w:val="573"/>
        </w:trPr>
        <w:tc>
          <w:tcPr>
            <w:tcW w:w="13898" w:type="dxa"/>
            <w:gridSpan w:val="2"/>
          </w:tcPr>
          <w:p w:rsidR="00DA791B" w:rsidRDefault="00DA791B" w:rsidP="00D44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 </w:t>
            </w:r>
          </w:p>
        </w:tc>
      </w:tr>
      <w:tr w:rsidR="00DA791B" w:rsidTr="00D447E8">
        <w:trPr>
          <w:trHeight w:val="110"/>
        </w:trPr>
        <w:tc>
          <w:tcPr>
            <w:tcW w:w="6949" w:type="dxa"/>
          </w:tcPr>
          <w:p w:rsidR="00DA791B" w:rsidRDefault="00DA791B" w:rsidP="00D44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9" w:type="dxa"/>
          </w:tcPr>
          <w:p w:rsidR="00DA791B" w:rsidRDefault="00DA791B" w:rsidP="00D447E8">
            <w:pPr>
              <w:pStyle w:val="Default"/>
              <w:rPr>
                <w:sz w:val="22"/>
                <w:szCs w:val="22"/>
              </w:rPr>
            </w:pPr>
          </w:p>
        </w:tc>
      </w:tr>
      <w:tr w:rsidR="00DA791B" w:rsidTr="00D447E8">
        <w:trPr>
          <w:trHeight w:val="2118"/>
        </w:trPr>
        <w:tc>
          <w:tcPr>
            <w:tcW w:w="6949" w:type="dxa"/>
          </w:tcPr>
          <w:p w:rsidR="00DA791B" w:rsidRDefault="00DA791B" w:rsidP="00D447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9" w:type="dxa"/>
          </w:tcPr>
          <w:p w:rsidR="00DA791B" w:rsidRDefault="00DA791B" w:rsidP="00D447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584491" w:rsidRDefault="00584491" w:rsidP="00D447E8"/>
    <w:sectPr w:rsidR="00584491" w:rsidSect="00D447E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791B"/>
    <w:rsid w:val="000D5592"/>
    <w:rsid w:val="000D5F1C"/>
    <w:rsid w:val="000F5A95"/>
    <w:rsid w:val="000F6B00"/>
    <w:rsid w:val="00165CAA"/>
    <w:rsid w:val="002900EE"/>
    <w:rsid w:val="002D04FE"/>
    <w:rsid w:val="00391667"/>
    <w:rsid w:val="003946BF"/>
    <w:rsid w:val="00425FBC"/>
    <w:rsid w:val="00464A55"/>
    <w:rsid w:val="00584491"/>
    <w:rsid w:val="006057FF"/>
    <w:rsid w:val="00723F05"/>
    <w:rsid w:val="0084553C"/>
    <w:rsid w:val="008B519C"/>
    <w:rsid w:val="00912097"/>
    <w:rsid w:val="0095405A"/>
    <w:rsid w:val="009C38E4"/>
    <w:rsid w:val="00A46E11"/>
    <w:rsid w:val="00A50411"/>
    <w:rsid w:val="00AF6161"/>
    <w:rsid w:val="00BB7815"/>
    <w:rsid w:val="00BE18AC"/>
    <w:rsid w:val="00D378EB"/>
    <w:rsid w:val="00D447E8"/>
    <w:rsid w:val="00D83FB2"/>
    <w:rsid w:val="00DA791B"/>
    <w:rsid w:val="00DC75C2"/>
    <w:rsid w:val="00E472FB"/>
    <w:rsid w:val="00E85FA1"/>
    <w:rsid w:val="00EF1937"/>
    <w:rsid w:val="00FC17A6"/>
    <w:rsid w:val="00FD63BF"/>
    <w:rsid w:val="00FD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A79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A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dcterms:created xsi:type="dcterms:W3CDTF">2019-08-26T11:59:00Z</dcterms:created>
  <dcterms:modified xsi:type="dcterms:W3CDTF">2019-08-26T11:59:00Z</dcterms:modified>
</cp:coreProperties>
</file>