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D1" w:rsidRDefault="007E0226">
      <w:pPr>
        <w:pStyle w:val="normal0"/>
        <w:widowControl w:val="0"/>
        <w:pBdr>
          <w:top w:val="nil"/>
          <w:left w:val="nil"/>
          <w:bottom w:val="nil"/>
          <w:right w:val="nil"/>
          <w:between w:val="nil"/>
        </w:pBdr>
        <w:spacing w:line="240" w:lineRule="auto"/>
        <w:ind w:left="24"/>
        <w:jc w:val="center"/>
        <w:rPr>
          <w:rFonts w:ascii="Nunito" w:eastAsia="Nunito" w:hAnsi="Nunito" w:cs="Nunito"/>
          <w:b/>
          <w:sz w:val="36"/>
          <w:szCs w:val="36"/>
        </w:rPr>
      </w:pPr>
      <w:r>
        <w:rPr>
          <w:rFonts w:ascii="Nunito" w:eastAsia="Nunito" w:hAnsi="Nunito" w:cs="Nunito"/>
          <w:b/>
          <w:sz w:val="36"/>
          <w:szCs w:val="36"/>
        </w:rPr>
        <w:t xml:space="preserve">Fiche pédagogique </w:t>
      </w:r>
    </w:p>
    <w:p w:rsidR="009D28D1" w:rsidRDefault="007E0226">
      <w:pPr>
        <w:pStyle w:val="normal0"/>
        <w:widowControl w:val="0"/>
        <w:pBdr>
          <w:top w:val="nil"/>
          <w:left w:val="nil"/>
          <w:bottom w:val="nil"/>
          <w:right w:val="nil"/>
          <w:between w:val="nil"/>
        </w:pBdr>
        <w:spacing w:before="39" w:line="279" w:lineRule="auto"/>
        <w:ind w:left="8" w:firstLine="12"/>
        <w:jc w:val="center"/>
        <w:rPr>
          <w:rFonts w:ascii="Nunito" w:eastAsia="Nunito" w:hAnsi="Nunito" w:cs="Nunito"/>
          <w:b/>
          <w:sz w:val="30"/>
          <w:szCs w:val="30"/>
        </w:rPr>
      </w:pPr>
      <w:r>
        <w:rPr>
          <w:rFonts w:ascii="Nunito" w:eastAsia="Nunito" w:hAnsi="Nunito" w:cs="Nunito"/>
          <w:b/>
          <w:sz w:val="30"/>
          <w:szCs w:val="30"/>
        </w:rPr>
        <w:t>Manipulation de notions de Gestion-Finance par un Escape Game</w:t>
      </w:r>
    </w:p>
    <w:tbl>
      <w:tblPr>
        <w:tblStyle w:val="a"/>
        <w:tblW w:w="108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27"/>
        <w:gridCol w:w="2048"/>
        <w:gridCol w:w="3273"/>
        <w:gridCol w:w="3273"/>
      </w:tblGrid>
      <w:tr w:rsidR="009D28D1" w:rsidTr="007E0226">
        <w:trPr>
          <w:trHeight w:val="510"/>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2"/>
              <w:rPr>
                <w:rFonts w:ascii="Nunito" w:eastAsia="Nunito" w:hAnsi="Nunito" w:cs="Nunito"/>
                <w:color w:val="000000"/>
                <w:sz w:val="24"/>
                <w:szCs w:val="24"/>
              </w:rPr>
            </w:pPr>
            <w:r>
              <w:rPr>
                <w:rFonts w:ascii="Nunito" w:eastAsia="Nunito" w:hAnsi="Nunito" w:cs="Nunito"/>
                <w:color w:val="000000"/>
                <w:sz w:val="24"/>
                <w:szCs w:val="24"/>
              </w:rPr>
              <w:t xml:space="preserve">Niveau </w:t>
            </w:r>
          </w:p>
        </w:tc>
        <w:tc>
          <w:tcPr>
            <w:tcW w:w="2048"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0"/>
              <w:rPr>
                <w:rFonts w:ascii="Nunito" w:eastAsia="Nunito" w:hAnsi="Nunito" w:cs="Nunito"/>
                <w:color w:val="000000"/>
                <w:sz w:val="21"/>
                <w:szCs w:val="21"/>
              </w:rPr>
            </w:pPr>
            <w:r>
              <w:rPr>
                <w:rFonts w:ascii="Nunito" w:eastAsia="Nunito" w:hAnsi="Nunito" w:cs="Nunito"/>
                <w:color w:val="000000"/>
                <w:sz w:val="21"/>
                <w:szCs w:val="21"/>
              </w:rPr>
              <w:t>Première STMG</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0"/>
              <w:rPr>
                <w:rFonts w:ascii="Nunito" w:eastAsia="Nunito" w:hAnsi="Nunito" w:cs="Nunito"/>
                <w:color w:val="000000"/>
                <w:sz w:val="21"/>
                <w:szCs w:val="21"/>
              </w:rPr>
            </w:pPr>
            <w:r>
              <w:rPr>
                <w:rFonts w:ascii="Nunito" w:eastAsia="Nunito" w:hAnsi="Nunito" w:cs="Nunito"/>
                <w:sz w:val="21"/>
                <w:szCs w:val="21"/>
              </w:rPr>
              <w:t xml:space="preserve">Début d’année en </w:t>
            </w:r>
            <w:proofErr w:type="spellStart"/>
            <w:r>
              <w:rPr>
                <w:rFonts w:ascii="Nunito" w:eastAsia="Nunito" w:hAnsi="Nunito" w:cs="Nunito"/>
                <w:sz w:val="21"/>
                <w:szCs w:val="21"/>
              </w:rPr>
              <w:t>Term</w:t>
            </w:r>
            <w:proofErr w:type="spellEnd"/>
            <w:r>
              <w:rPr>
                <w:rFonts w:ascii="Nunito" w:eastAsia="Nunito" w:hAnsi="Nunito" w:cs="Nunito"/>
                <w:sz w:val="21"/>
                <w:szCs w:val="21"/>
              </w:rPr>
              <w:t xml:space="preserve"> STMG </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0"/>
              <w:rPr>
                <w:rFonts w:ascii="Nunito" w:eastAsia="Nunito" w:hAnsi="Nunito" w:cs="Nunito"/>
                <w:color w:val="000000"/>
                <w:sz w:val="21"/>
                <w:szCs w:val="21"/>
              </w:rPr>
            </w:pPr>
            <w:r>
              <w:rPr>
                <w:rFonts w:ascii="Nunito" w:eastAsia="Nunito" w:hAnsi="Nunito" w:cs="Nunito"/>
                <w:sz w:val="21"/>
                <w:szCs w:val="21"/>
              </w:rPr>
              <w:t>Journée d’intégration STMG ; Présentation de l’option GF</w:t>
            </w:r>
          </w:p>
        </w:tc>
      </w:tr>
      <w:tr w:rsidR="009D28D1" w:rsidTr="007E0226">
        <w:trPr>
          <w:trHeight w:val="510"/>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2"/>
              <w:rPr>
                <w:rFonts w:ascii="Nunito" w:eastAsia="Nunito" w:hAnsi="Nunito" w:cs="Nunito"/>
                <w:color w:val="000000"/>
                <w:sz w:val="24"/>
                <w:szCs w:val="24"/>
              </w:rPr>
            </w:pPr>
            <w:r>
              <w:rPr>
                <w:rFonts w:ascii="Nunito" w:eastAsia="Nunito" w:hAnsi="Nunito" w:cs="Nunito"/>
                <w:color w:val="000000"/>
                <w:sz w:val="24"/>
                <w:szCs w:val="24"/>
              </w:rPr>
              <w:t xml:space="preserve">Programme </w:t>
            </w:r>
          </w:p>
        </w:tc>
        <w:tc>
          <w:tcPr>
            <w:tcW w:w="2048"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1"/>
              <w:rPr>
                <w:rFonts w:ascii="Nunito" w:eastAsia="Nunito" w:hAnsi="Nunito" w:cs="Nunito"/>
                <w:color w:val="000000"/>
                <w:sz w:val="21"/>
                <w:szCs w:val="21"/>
              </w:rPr>
            </w:pPr>
            <w:r>
              <w:rPr>
                <w:rFonts w:ascii="Nunito" w:eastAsia="Nunito" w:hAnsi="Nunito" w:cs="Nunito"/>
                <w:sz w:val="21"/>
                <w:szCs w:val="21"/>
              </w:rPr>
              <w:t>SDGN</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1"/>
              <w:rPr>
                <w:rFonts w:ascii="Nunito" w:eastAsia="Nunito" w:hAnsi="Nunito" w:cs="Nunito"/>
                <w:color w:val="000000"/>
                <w:sz w:val="21"/>
                <w:szCs w:val="21"/>
              </w:rPr>
            </w:pPr>
            <w:r>
              <w:rPr>
                <w:rFonts w:ascii="Nunito" w:eastAsia="Nunito" w:hAnsi="Nunito" w:cs="Nunito"/>
                <w:sz w:val="21"/>
                <w:szCs w:val="21"/>
              </w:rPr>
              <w:t>Notions de GF pour l’enseignement commun MSGN</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1"/>
              <w:rPr>
                <w:rFonts w:ascii="Nunito" w:eastAsia="Nunito" w:hAnsi="Nunito" w:cs="Nunito"/>
                <w:color w:val="000000"/>
                <w:sz w:val="21"/>
                <w:szCs w:val="21"/>
              </w:rPr>
            </w:pPr>
            <w:r>
              <w:rPr>
                <w:rFonts w:ascii="Nunito" w:eastAsia="Nunito" w:hAnsi="Nunito" w:cs="Nunito"/>
                <w:sz w:val="21"/>
                <w:szCs w:val="21"/>
              </w:rPr>
              <w:t>Notions de GF</w:t>
            </w:r>
          </w:p>
        </w:tc>
      </w:tr>
      <w:tr w:rsidR="009D28D1" w:rsidTr="007E0226">
        <w:trPr>
          <w:trHeight w:val="510"/>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02"/>
              <w:rPr>
                <w:rFonts w:ascii="Nunito" w:eastAsia="Nunito" w:hAnsi="Nunito" w:cs="Nunito"/>
                <w:color w:val="000000"/>
                <w:sz w:val="24"/>
                <w:szCs w:val="24"/>
              </w:rPr>
            </w:pPr>
            <w:r>
              <w:rPr>
                <w:rFonts w:ascii="Nunito" w:eastAsia="Nunito" w:hAnsi="Nunito" w:cs="Nunito"/>
                <w:color w:val="000000"/>
                <w:sz w:val="24"/>
                <w:szCs w:val="24"/>
              </w:rPr>
              <w:t xml:space="preserve">Thème </w:t>
            </w:r>
          </w:p>
        </w:tc>
        <w:tc>
          <w:tcPr>
            <w:tcW w:w="2048"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color w:val="000000"/>
                <w:sz w:val="21"/>
                <w:szCs w:val="21"/>
              </w:rPr>
            </w:pPr>
            <w:r>
              <w:rPr>
                <w:rFonts w:ascii="Nunito" w:eastAsia="Nunito" w:hAnsi="Nunito" w:cs="Nunito"/>
                <w:color w:val="000000"/>
                <w:sz w:val="21"/>
                <w:szCs w:val="21"/>
              </w:rPr>
              <w:t>3- Gestion et création de valeur</w:t>
            </w:r>
          </w:p>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sz w:val="21"/>
                <w:szCs w:val="21"/>
              </w:rPr>
            </w:pPr>
            <w:r>
              <w:rPr>
                <w:rFonts w:ascii="Nunito" w:eastAsia="Nunito" w:hAnsi="Nunito" w:cs="Nunito"/>
                <w:sz w:val="21"/>
                <w:szCs w:val="21"/>
              </w:rPr>
              <w:t>4- Temps et risque</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sz w:val="21"/>
                <w:szCs w:val="21"/>
              </w:rPr>
            </w:pPr>
            <w:r>
              <w:rPr>
                <w:rFonts w:ascii="Nunito" w:eastAsia="Nunito" w:hAnsi="Nunito" w:cs="Nunito"/>
                <w:sz w:val="21"/>
                <w:szCs w:val="21"/>
              </w:rPr>
              <w:t xml:space="preserve">MSGN : </w:t>
            </w:r>
            <w:r>
              <w:rPr>
                <w:rFonts w:ascii="Nunito" w:eastAsia="Nunito" w:hAnsi="Nunito" w:cs="Nunito"/>
                <w:sz w:val="21"/>
                <w:szCs w:val="21"/>
              </w:rPr>
              <w:t>1-Les organisations et l’activité de production des biens et services</w:t>
            </w:r>
          </w:p>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sz w:val="21"/>
                <w:szCs w:val="21"/>
              </w:rPr>
            </w:pPr>
            <w:r>
              <w:rPr>
                <w:rFonts w:ascii="Nunito" w:eastAsia="Nunito" w:hAnsi="Nunito" w:cs="Nunito"/>
                <w:sz w:val="21"/>
                <w:szCs w:val="21"/>
              </w:rPr>
              <w:t xml:space="preserve">GF : </w:t>
            </w:r>
          </w:p>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sz w:val="21"/>
                <w:szCs w:val="21"/>
              </w:rPr>
            </w:pPr>
            <w:r>
              <w:rPr>
                <w:rFonts w:ascii="Nunito" w:eastAsia="Nunito" w:hAnsi="Nunito" w:cs="Nunito"/>
                <w:sz w:val="21"/>
                <w:szCs w:val="21"/>
              </w:rPr>
              <w:t>1- Appliquer les règles comptables</w:t>
            </w:r>
          </w:p>
          <w:p w:rsidR="009D28D1" w:rsidRDefault="007E0226">
            <w:pPr>
              <w:pStyle w:val="normal0"/>
              <w:widowControl w:val="0"/>
              <w:pBdr>
                <w:top w:val="nil"/>
                <w:left w:val="nil"/>
                <w:bottom w:val="nil"/>
                <w:right w:val="nil"/>
                <w:between w:val="nil"/>
              </w:pBdr>
              <w:spacing w:line="240" w:lineRule="auto"/>
              <w:ind w:left="112"/>
              <w:rPr>
                <w:rFonts w:ascii="Nunito" w:eastAsia="Nunito" w:hAnsi="Nunito" w:cs="Nunito"/>
                <w:sz w:val="21"/>
                <w:szCs w:val="21"/>
              </w:rPr>
            </w:pPr>
            <w:r>
              <w:rPr>
                <w:rFonts w:ascii="Nunito" w:eastAsia="Nunito" w:hAnsi="Nunito" w:cs="Nunito"/>
                <w:sz w:val="21"/>
                <w:szCs w:val="21"/>
              </w:rPr>
              <w:t xml:space="preserve">3- Accompagner la prise de décision </w:t>
            </w:r>
          </w:p>
        </w:tc>
        <w:tc>
          <w:tcPr>
            <w:tcW w:w="3273" w:type="dxa"/>
            <w:shd w:val="clear" w:color="auto" w:fill="auto"/>
            <w:tcMar>
              <w:top w:w="100" w:type="dxa"/>
              <w:left w:w="100" w:type="dxa"/>
              <w:bottom w:w="100" w:type="dxa"/>
              <w:right w:w="100" w:type="dxa"/>
            </w:tcMar>
          </w:tcPr>
          <w:p w:rsidR="009D28D1" w:rsidRDefault="009D28D1">
            <w:pPr>
              <w:pStyle w:val="normal0"/>
              <w:widowControl w:val="0"/>
              <w:pBdr>
                <w:top w:val="nil"/>
                <w:left w:val="nil"/>
                <w:bottom w:val="nil"/>
                <w:right w:val="nil"/>
                <w:between w:val="nil"/>
              </w:pBdr>
              <w:spacing w:line="240" w:lineRule="auto"/>
              <w:ind w:left="112"/>
              <w:rPr>
                <w:rFonts w:ascii="Nunito" w:eastAsia="Nunito" w:hAnsi="Nunito" w:cs="Nunito"/>
                <w:color w:val="000000"/>
                <w:sz w:val="21"/>
                <w:szCs w:val="21"/>
              </w:rPr>
            </w:pPr>
          </w:p>
        </w:tc>
      </w:tr>
      <w:tr w:rsidR="009D28D1" w:rsidTr="007E0226">
        <w:trPr>
          <w:trHeight w:val="735"/>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6"/>
              <w:rPr>
                <w:rFonts w:ascii="Nunito" w:eastAsia="Nunito" w:hAnsi="Nunito" w:cs="Nunito"/>
                <w:color w:val="000000"/>
                <w:sz w:val="24"/>
                <w:szCs w:val="24"/>
              </w:rPr>
            </w:pPr>
            <w:r>
              <w:rPr>
                <w:rFonts w:ascii="Nunito" w:eastAsia="Nunito" w:hAnsi="Nunito" w:cs="Nunito"/>
                <w:color w:val="000000"/>
                <w:sz w:val="24"/>
                <w:szCs w:val="24"/>
              </w:rPr>
              <w:t xml:space="preserve">Question de gestion </w:t>
            </w:r>
          </w:p>
        </w:tc>
        <w:tc>
          <w:tcPr>
            <w:tcW w:w="2048"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2" w:lineRule="auto"/>
              <w:ind w:left="101" w:right="82" w:firstLine="12"/>
              <w:rPr>
                <w:rFonts w:ascii="Nunito" w:eastAsia="Nunito" w:hAnsi="Nunito" w:cs="Nunito"/>
                <w:sz w:val="21"/>
                <w:szCs w:val="21"/>
              </w:rPr>
            </w:pPr>
            <w:r>
              <w:rPr>
                <w:rFonts w:ascii="Nunito" w:eastAsia="Nunito" w:hAnsi="Nunito" w:cs="Nunito"/>
                <w:sz w:val="21"/>
                <w:szCs w:val="21"/>
              </w:rPr>
              <w:t xml:space="preserve">Peut-on mesurer la contribution de chaque acteur à la création de valeur ? </w:t>
            </w:r>
          </w:p>
          <w:p w:rsidR="009D28D1" w:rsidRDefault="007E0226">
            <w:pPr>
              <w:pStyle w:val="normal0"/>
              <w:widowControl w:val="0"/>
              <w:pBdr>
                <w:top w:val="nil"/>
                <w:left w:val="nil"/>
                <w:bottom w:val="nil"/>
                <w:right w:val="nil"/>
                <w:between w:val="nil"/>
              </w:pBdr>
              <w:spacing w:line="242" w:lineRule="auto"/>
              <w:ind w:left="101" w:right="82" w:firstLine="12"/>
              <w:rPr>
                <w:rFonts w:ascii="Nunito" w:eastAsia="Nunito" w:hAnsi="Nunito" w:cs="Nunito"/>
                <w:color w:val="000000"/>
                <w:sz w:val="21"/>
                <w:szCs w:val="21"/>
              </w:rPr>
            </w:pPr>
            <w:r>
              <w:rPr>
                <w:rFonts w:ascii="Nunito" w:eastAsia="Nunito" w:hAnsi="Nunito" w:cs="Nunito"/>
                <w:sz w:val="21"/>
                <w:szCs w:val="21"/>
              </w:rPr>
              <w:t>Quelle prise en compte du temps dans la gestion de l’organisation ?</w:t>
            </w:r>
          </w:p>
        </w:tc>
        <w:tc>
          <w:tcPr>
            <w:tcW w:w="3273" w:type="dxa"/>
            <w:tcBorders>
              <w:left w:val="single" w:sz="8" w:space="0" w:color="000000"/>
              <w:right w:val="single" w:sz="8" w:space="0" w:color="000000"/>
            </w:tcBorders>
          </w:tcPr>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 xml:space="preserve">MSGN : </w:t>
            </w:r>
          </w:p>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 xml:space="preserve">Quels choix d’organisation de la production pour concilier flexibilité, qualité et maîtrise des coûts </w:t>
            </w:r>
            <w:r>
              <w:rPr>
                <w:rFonts w:ascii="Nunito" w:eastAsia="Nunito" w:hAnsi="Nunito" w:cs="Nunito"/>
                <w:sz w:val="21"/>
                <w:szCs w:val="21"/>
              </w:rPr>
              <w:t>?</w:t>
            </w:r>
          </w:p>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GF </w:t>
            </w:r>
            <w:proofErr w:type="gramStart"/>
            <w:r>
              <w:rPr>
                <w:rFonts w:ascii="Nunito" w:eastAsia="Nunito" w:hAnsi="Nunito" w:cs="Nunito"/>
                <w:sz w:val="21"/>
                <w:szCs w:val="21"/>
              </w:rPr>
              <w:t xml:space="preserve">: </w:t>
            </w:r>
            <w:r>
              <w:rPr>
                <w:rFonts w:ascii="Nunito" w:eastAsia="Nunito" w:hAnsi="Nunito" w:cs="Nunito"/>
                <w:sz w:val="21"/>
                <w:szCs w:val="21"/>
              </w:rPr>
              <w:t xml:space="preserve"> -</w:t>
            </w:r>
            <w:proofErr w:type="gramEnd"/>
            <w:r>
              <w:rPr>
                <w:rFonts w:ascii="Nunito" w:eastAsia="Nunito" w:hAnsi="Nunito" w:cs="Nunito"/>
                <w:sz w:val="21"/>
                <w:szCs w:val="21"/>
              </w:rPr>
              <w:t xml:space="preserve"> </w:t>
            </w:r>
            <w:r>
              <w:rPr>
                <w:rFonts w:ascii="Nunito" w:eastAsia="Nunito" w:hAnsi="Nunito" w:cs="Nunito"/>
                <w:sz w:val="21"/>
                <w:szCs w:val="21"/>
              </w:rPr>
              <w:t>1.1 Qu’est ce qu’un système d’information comptable et que lui apportent les technologies numériques?</w:t>
            </w:r>
          </w:p>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3.4 - Qu’apporte l’analyse des coûts à la prise de décision?</w:t>
            </w:r>
          </w:p>
        </w:tc>
        <w:tc>
          <w:tcPr>
            <w:tcW w:w="3273" w:type="dxa"/>
            <w:shd w:val="clear" w:color="auto" w:fill="auto"/>
            <w:tcMar>
              <w:top w:w="100" w:type="dxa"/>
              <w:left w:w="100" w:type="dxa"/>
              <w:bottom w:w="100" w:type="dxa"/>
              <w:right w:w="100" w:type="dxa"/>
            </w:tcMar>
          </w:tcPr>
          <w:p w:rsidR="009D28D1" w:rsidRDefault="009D28D1">
            <w:pPr>
              <w:pStyle w:val="normal0"/>
              <w:widowControl w:val="0"/>
              <w:pBdr>
                <w:top w:val="nil"/>
                <w:left w:val="nil"/>
                <w:bottom w:val="nil"/>
                <w:right w:val="nil"/>
                <w:between w:val="nil"/>
              </w:pBdr>
              <w:spacing w:line="242" w:lineRule="auto"/>
              <w:ind w:left="101" w:right="82" w:firstLine="12"/>
              <w:rPr>
                <w:rFonts w:ascii="Nunito" w:eastAsia="Nunito" w:hAnsi="Nunito" w:cs="Nunito"/>
                <w:color w:val="000000"/>
                <w:sz w:val="21"/>
                <w:szCs w:val="21"/>
              </w:rPr>
            </w:pPr>
          </w:p>
        </w:tc>
      </w:tr>
      <w:tr w:rsidR="009D28D1" w:rsidTr="007E0226">
        <w:trPr>
          <w:trHeight w:val="510"/>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2"/>
              <w:rPr>
                <w:rFonts w:ascii="Nunito" w:eastAsia="Nunito" w:hAnsi="Nunito" w:cs="Nunito"/>
                <w:color w:val="000000"/>
                <w:sz w:val="24"/>
                <w:szCs w:val="24"/>
              </w:rPr>
            </w:pPr>
            <w:r>
              <w:rPr>
                <w:rFonts w:ascii="Nunito" w:eastAsia="Nunito" w:hAnsi="Nunito" w:cs="Nunito"/>
                <w:color w:val="000000"/>
                <w:sz w:val="24"/>
                <w:szCs w:val="24"/>
              </w:rPr>
              <w:t xml:space="preserve">Notion </w:t>
            </w:r>
          </w:p>
        </w:tc>
        <w:tc>
          <w:tcPr>
            <w:tcW w:w="8594" w:type="dxa"/>
            <w:gridSpan w:val="3"/>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02"/>
              <w:rPr>
                <w:rFonts w:ascii="Nunito" w:eastAsia="Nunito" w:hAnsi="Nunito" w:cs="Nunito"/>
                <w:sz w:val="21"/>
                <w:szCs w:val="21"/>
              </w:rPr>
            </w:pPr>
            <w:r>
              <w:rPr>
                <w:rFonts w:ascii="Nunito" w:eastAsia="Nunito" w:hAnsi="Nunito" w:cs="Nunito"/>
                <w:sz w:val="21"/>
                <w:szCs w:val="21"/>
              </w:rPr>
              <w:t xml:space="preserve">Compte de résultat, </w:t>
            </w:r>
            <w:proofErr w:type="gramStart"/>
            <w:r>
              <w:rPr>
                <w:rFonts w:ascii="Nunito" w:eastAsia="Nunito" w:hAnsi="Nunito" w:cs="Nunito"/>
                <w:sz w:val="21"/>
                <w:szCs w:val="21"/>
              </w:rPr>
              <w:t>Bilan ,</w:t>
            </w:r>
            <w:proofErr w:type="gramEnd"/>
            <w:r>
              <w:rPr>
                <w:rFonts w:ascii="Nunito" w:eastAsia="Nunito" w:hAnsi="Nunito" w:cs="Nunito"/>
                <w:sz w:val="21"/>
                <w:szCs w:val="21"/>
              </w:rPr>
              <w:t xml:space="preserve"> Seuil de rentabilité</w:t>
            </w:r>
          </w:p>
        </w:tc>
      </w:tr>
      <w:tr w:rsidR="007E0226" w:rsidTr="005512EC">
        <w:trPr>
          <w:trHeight w:val="510"/>
        </w:trPr>
        <w:tc>
          <w:tcPr>
            <w:tcW w:w="2227" w:type="dxa"/>
            <w:shd w:val="clear" w:color="auto" w:fill="auto"/>
            <w:tcMar>
              <w:top w:w="100" w:type="dxa"/>
              <w:left w:w="100" w:type="dxa"/>
              <w:bottom w:w="100" w:type="dxa"/>
              <w:right w:w="100" w:type="dxa"/>
            </w:tcMar>
          </w:tcPr>
          <w:p w:rsidR="007E0226" w:rsidRDefault="007E0226">
            <w:pPr>
              <w:pStyle w:val="normal0"/>
              <w:widowControl w:val="0"/>
              <w:pBdr>
                <w:top w:val="nil"/>
                <w:left w:val="nil"/>
                <w:bottom w:val="nil"/>
                <w:right w:val="nil"/>
                <w:between w:val="nil"/>
              </w:pBdr>
              <w:spacing w:line="240" w:lineRule="auto"/>
              <w:ind w:left="116"/>
              <w:rPr>
                <w:rFonts w:ascii="Nunito" w:eastAsia="Nunito" w:hAnsi="Nunito" w:cs="Nunito"/>
                <w:color w:val="000000"/>
                <w:sz w:val="24"/>
                <w:szCs w:val="24"/>
              </w:rPr>
            </w:pPr>
            <w:r>
              <w:rPr>
                <w:rFonts w:ascii="Nunito" w:eastAsia="Nunito" w:hAnsi="Nunito" w:cs="Nunito"/>
                <w:color w:val="000000"/>
                <w:sz w:val="24"/>
                <w:szCs w:val="24"/>
              </w:rPr>
              <w:t xml:space="preserve">Capacités </w:t>
            </w:r>
          </w:p>
        </w:tc>
        <w:tc>
          <w:tcPr>
            <w:tcW w:w="8594" w:type="dxa"/>
            <w:gridSpan w:val="3"/>
            <w:shd w:val="clear" w:color="auto" w:fill="auto"/>
            <w:tcMar>
              <w:top w:w="100" w:type="dxa"/>
              <w:left w:w="100" w:type="dxa"/>
              <w:bottom w:w="100" w:type="dxa"/>
              <w:right w:w="100" w:type="dxa"/>
            </w:tcMar>
          </w:tcPr>
          <w:p w:rsidR="007E0226" w:rsidRDefault="007E0226">
            <w:pPr>
              <w:pStyle w:val="normal0"/>
              <w:widowControl w:val="0"/>
              <w:pBdr>
                <w:top w:val="nil"/>
                <w:left w:val="nil"/>
                <w:bottom w:val="nil"/>
                <w:right w:val="nil"/>
                <w:between w:val="nil"/>
              </w:pBdr>
              <w:spacing w:line="240" w:lineRule="auto"/>
              <w:ind w:left="120"/>
              <w:rPr>
                <w:rFonts w:ascii="Nunito" w:eastAsia="Nunito" w:hAnsi="Nunito" w:cs="Nunito"/>
                <w:color w:val="000000"/>
                <w:sz w:val="21"/>
                <w:szCs w:val="21"/>
              </w:rPr>
            </w:pPr>
            <w:r>
              <w:rPr>
                <w:rFonts w:ascii="Nunito" w:eastAsia="Nunito" w:hAnsi="Nunito" w:cs="Nunito"/>
                <w:sz w:val="21"/>
                <w:szCs w:val="21"/>
              </w:rPr>
              <w:t xml:space="preserve">Lecture d’un bilan et d’un compte de résultat, connaître les éléments composants un bilan et un CR. Mesurer le risque d’exploitation grâce au seuil de rentabilité. Mesurer  la profitabilité d’une activité. Découverte du principe de la partie double. </w:t>
            </w:r>
          </w:p>
        </w:tc>
      </w:tr>
      <w:tr w:rsidR="009D28D1" w:rsidTr="007E0226">
        <w:trPr>
          <w:trHeight w:val="795"/>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6"/>
              <w:rPr>
                <w:rFonts w:ascii="Nunito" w:eastAsia="Nunito" w:hAnsi="Nunito" w:cs="Nunito"/>
                <w:color w:val="000000"/>
                <w:sz w:val="24"/>
                <w:szCs w:val="24"/>
              </w:rPr>
            </w:pPr>
            <w:r>
              <w:rPr>
                <w:rFonts w:ascii="Nunito" w:eastAsia="Nunito" w:hAnsi="Nunito" w:cs="Nunito"/>
                <w:color w:val="000000"/>
                <w:sz w:val="24"/>
                <w:szCs w:val="24"/>
              </w:rPr>
              <w:t xml:space="preserve">Objectifs </w:t>
            </w:r>
          </w:p>
          <w:p w:rsidR="009D28D1" w:rsidRDefault="007E0226">
            <w:pPr>
              <w:pStyle w:val="normal0"/>
              <w:widowControl w:val="0"/>
              <w:pBdr>
                <w:top w:val="nil"/>
                <w:left w:val="nil"/>
                <w:bottom w:val="nil"/>
                <w:right w:val="nil"/>
                <w:between w:val="nil"/>
              </w:pBdr>
              <w:spacing w:before="4" w:line="240" w:lineRule="auto"/>
              <w:ind w:left="119"/>
              <w:rPr>
                <w:rFonts w:ascii="Nunito" w:eastAsia="Nunito" w:hAnsi="Nunito" w:cs="Nunito"/>
                <w:color w:val="000000"/>
                <w:sz w:val="24"/>
                <w:szCs w:val="24"/>
              </w:rPr>
            </w:pPr>
            <w:r>
              <w:rPr>
                <w:rFonts w:ascii="Nunito" w:eastAsia="Nunito" w:hAnsi="Nunito" w:cs="Nunito"/>
                <w:color w:val="000000"/>
                <w:sz w:val="24"/>
                <w:szCs w:val="24"/>
              </w:rPr>
              <w:t>pédagogiques</w:t>
            </w:r>
          </w:p>
        </w:tc>
        <w:tc>
          <w:tcPr>
            <w:tcW w:w="2048"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2" w:lineRule="auto"/>
              <w:ind w:left="101" w:right="74" w:firstLine="18"/>
              <w:rPr>
                <w:rFonts w:ascii="Nunito" w:eastAsia="Nunito" w:hAnsi="Nunito" w:cs="Nunito"/>
                <w:sz w:val="21"/>
                <w:szCs w:val="21"/>
              </w:rPr>
            </w:pPr>
            <w:r>
              <w:rPr>
                <w:rFonts w:ascii="Nunito" w:eastAsia="Nunito" w:hAnsi="Nunito" w:cs="Nunito"/>
                <w:sz w:val="21"/>
                <w:szCs w:val="21"/>
              </w:rPr>
              <w:t>-</w:t>
            </w:r>
            <w:r>
              <w:rPr>
                <w:rFonts w:ascii="Nunito" w:eastAsia="Nunito" w:hAnsi="Nunito" w:cs="Nunito"/>
                <w:color w:val="000000"/>
                <w:sz w:val="21"/>
                <w:szCs w:val="21"/>
              </w:rPr>
              <w:t xml:space="preserve">Mise en application des notions de </w:t>
            </w:r>
            <w:r>
              <w:rPr>
                <w:rFonts w:ascii="Nunito" w:eastAsia="Nunito" w:hAnsi="Nunito" w:cs="Nunito"/>
                <w:sz w:val="21"/>
                <w:szCs w:val="21"/>
              </w:rPr>
              <w:t>SDGN en rapport avec la GF</w:t>
            </w:r>
          </w:p>
          <w:p w:rsidR="009D28D1" w:rsidRDefault="007E0226">
            <w:pPr>
              <w:pStyle w:val="normal0"/>
              <w:widowControl w:val="0"/>
              <w:pBdr>
                <w:top w:val="nil"/>
                <w:left w:val="nil"/>
                <w:bottom w:val="nil"/>
                <w:right w:val="nil"/>
                <w:between w:val="nil"/>
              </w:pBdr>
              <w:spacing w:line="242" w:lineRule="auto"/>
              <w:ind w:left="101" w:right="74" w:firstLine="18"/>
              <w:rPr>
                <w:rFonts w:ascii="Nunito" w:eastAsia="Nunito" w:hAnsi="Nunito" w:cs="Nunito"/>
                <w:sz w:val="21"/>
                <w:szCs w:val="21"/>
              </w:rPr>
            </w:pPr>
            <w:r>
              <w:rPr>
                <w:rFonts w:ascii="Nunito" w:eastAsia="Nunito" w:hAnsi="Nunito" w:cs="Nunito"/>
                <w:sz w:val="21"/>
                <w:szCs w:val="21"/>
              </w:rPr>
              <w:t xml:space="preserve">-Evaluation formative : En cours de chapitre (en cours d’année) </w:t>
            </w:r>
          </w:p>
          <w:p w:rsidR="009D28D1" w:rsidRDefault="007E0226">
            <w:pPr>
              <w:pStyle w:val="normal0"/>
              <w:widowControl w:val="0"/>
              <w:pBdr>
                <w:top w:val="nil"/>
                <w:left w:val="nil"/>
                <w:bottom w:val="nil"/>
                <w:right w:val="nil"/>
                <w:between w:val="nil"/>
              </w:pBdr>
              <w:spacing w:line="242" w:lineRule="auto"/>
              <w:ind w:left="101" w:right="74" w:firstLine="18"/>
              <w:rPr>
                <w:rFonts w:ascii="Nunito" w:eastAsia="Nunito" w:hAnsi="Nunito" w:cs="Nunito"/>
                <w:color w:val="000000"/>
                <w:sz w:val="21"/>
                <w:szCs w:val="21"/>
              </w:rPr>
            </w:pPr>
            <w:r>
              <w:rPr>
                <w:rFonts w:ascii="Nunito" w:eastAsia="Nunito" w:hAnsi="Nunito" w:cs="Nunito"/>
                <w:sz w:val="21"/>
                <w:szCs w:val="21"/>
              </w:rPr>
              <w:t>- Evaluation diagnostique en fin de chapitre ou en fin d’année</w:t>
            </w:r>
          </w:p>
        </w:tc>
        <w:tc>
          <w:tcPr>
            <w:tcW w:w="3273" w:type="dxa"/>
            <w:tcBorders>
              <w:left w:val="single" w:sz="8" w:space="0" w:color="000000"/>
              <w:right w:val="single" w:sz="8" w:space="0" w:color="000000"/>
            </w:tcBorders>
          </w:tcPr>
          <w:p w:rsidR="009D28D1" w:rsidRDefault="007E0226">
            <w:pPr>
              <w:pStyle w:val="normal0"/>
              <w:spacing w:line="240" w:lineRule="auto"/>
              <w:ind w:left="40"/>
            </w:pPr>
            <w:r>
              <w:t>Réactiver les acquis de première STMG.</w:t>
            </w:r>
          </w:p>
        </w:tc>
        <w:tc>
          <w:tcPr>
            <w:tcW w:w="3273"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2" w:lineRule="auto"/>
              <w:ind w:left="101" w:right="74" w:firstLine="18"/>
              <w:rPr>
                <w:rFonts w:ascii="Nunito" w:eastAsia="Nunito" w:hAnsi="Nunito" w:cs="Nunito"/>
                <w:color w:val="000000"/>
                <w:sz w:val="21"/>
                <w:szCs w:val="21"/>
              </w:rPr>
            </w:pPr>
            <w:r>
              <w:rPr>
                <w:rFonts w:ascii="Nunito" w:eastAsia="Nunito" w:hAnsi="Nunito" w:cs="Nunito"/>
                <w:sz w:val="21"/>
                <w:szCs w:val="21"/>
              </w:rPr>
              <w:t xml:space="preserve">Manipuler et découvrir des notions simples de Gestion-Finance. </w:t>
            </w:r>
          </w:p>
        </w:tc>
      </w:tr>
      <w:tr w:rsidR="009D28D1" w:rsidTr="007E0226">
        <w:trPr>
          <w:trHeight w:val="1350"/>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6"/>
              <w:rPr>
                <w:rFonts w:ascii="Nunito" w:eastAsia="Nunito" w:hAnsi="Nunito" w:cs="Nunito"/>
                <w:color w:val="000000"/>
                <w:sz w:val="24"/>
                <w:szCs w:val="24"/>
              </w:rPr>
            </w:pPr>
            <w:r>
              <w:rPr>
                <w:rFonts w:ascii="Nunito" w:eastAsia="Nunito" w:hAnsi="Nunito" w:cs="Nunito"/>
                <w:color w:val="000000"/>
                <w:sz w:val="24"/>
                <w:szCs w:val="24"/>
              </w:rPr>
              <w:lastRenderedPageBreak/>
              <w:t xml:space="preserve">Contenu et principe </w:t>
            </w:r>
          </w:p>
        </w:tc>
        <w:tc>
          <w:tcPr>
            <w:tcW w:w="8594" w:type="dxa"/>
            <w:gridSpan w:val="3"/>
            <w:shd w:val="clear" w:color="auto" w:fill="auto"/>
            <w:tcMar>
              <w:top w:w="100" w:type="dxa"/>
              <w:left w:w="100" w:type="dxa"/>
              <w:bottom w:w="100" w:type="dxa"/>
              <w:right w:w="100" w:type="dxa"/>
            </w:tcMar>
          </w:tcPr>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 xml:space="preserve">Série d’activités portant sur 3 thèmes : </w:t>
            </w:r>
          </w:p>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-TH 1: le bilan et La partie double</w:t>
            </w:r>
          </w:p>
          <w:p w:rsidR="009D28D1" w:rsidRDefault="007E0226">
            <w:pPr>
              <w:pStyle w:val="normal0"/>
              <w:spacing w:line="240" w:lineRule="auto"/>
              <w:ind w:left="40"/>
              <w:rPr>
                <w:rFonts w:ascii="Nunito" w:eastAsia="Nunito" w:hAnsi="Nunito" w:cs="Nunito"/>
                <w:sz w:val="21"/>
                <w:szCs w:val="21"/>
              </w:rPr>
            </w:pPr>
            <w:r>
              <w:rPr>
                <w:rFonts w:ascii="Nunito" w:eastAsia="Nunito" w:hAnsi="Nunito" w:cs="Nunito"/>
                <w:sz w:val="21"/>
                <w:szCs w:val="21"/>
              </w:rPr>
              <w:t>Th2 : Le compte de résultat et mesure de la profitabilité</w:t>
            </w:r>
          </w:p>
          <w:p w:rsidR="009D28D1" w:rsidRDefault="007E0226">
            <w:pPr>
              <w:pStyle w:val="normal0"/>
              <w:widowControl w:val="0"/>
              <w:spacing w:line="240" w:lineRule="auto"/>
              <w:ind w:left="120"/>
              <w:rPr>
                <w:rFonts w:ascii="Nunito" w:eastAsia="Nunito" w:hAnsi="Nunito" w:cs="Nunito"/>
                <w:sz w:val="21"/>
                <w:szCs w:val="21"/>
              </w:rPr>
            </w:pPr>
            <w:r>
              <w:rPr>
                <w:rFonts w:ascii="Nunito" w:eastAsia="Nunito" w:hAnsi="Nunito" w:cs="Nunito"/>
                <w:sz w:val="21"/>
                <w:szCs w:val="21"/>
              </w:rPr>
              <w:t>TH 3 : Le seuil de rentabilité</w:t>
            </w:r>
          </w:p>
        </w:tc>
      </w:tr>
      <w:tr w:rsidR="009D28D1" w:rsidTr="007E0226">
        <w:trPr>
          <w:trHeight w:val="2998"/>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22"/>
              <w:rPr>
                <w:rFonts w:ascii="Nunito" w:eastAsia="Nunito" w:hAnsi="Nunito" w:cs="Nunito"/>
                <w:color w:val="000000"/>
                <w:sz w:val="24"/>
                <w:szCs w:val="24"/>
              </w:rPr>
            </w:pPr>
            <w:r>
              <w:rPr>
                <w:rFonts w:ascii="Nunito" w:eastAsia="Nunito" w:hAnsi="Nunito" w:cs="Nunito"/>
                <w:color w:val="000000"/>
                <w:sz w:val="24"/>
                <w:szCs w:val="24"/>
              </w:rPr>
              <w:t xml:space="preserve">Déroulement </w:t>
            </w:r>
          </w:p>
        </w:tc>
        <w:tc>
          <w:tcPr>
            <w:tcW w:w="8594" w:type="dxa"/>
            <w:gridSpan w:val="3"/>
            <w:shd w:val="clear" w:color="auto" w:fill="auto"/>
            <w:tcMar>
              <w:top w:w="100" w:type="dxa"/>
              <w:left w:w="100" w:type="dxa"/>
              <w:bottom w:w="100" w:type="dxa"/>
              <w:right w:w="100" w:type="dxa"/>
            </w:tcMar>
          </w:tcPr>
          <w:p w:rsidR="009D28D1" w:rsidRDefault="007E0226">
            <w:pPr>
              <w:pStyle w:val="normal0"/>
              <w:widowControl w:val="0"/>
              <w:spacing w:line="242" w:lineRule="auto"/>
              <w:ind w:left="109" w:right="75" w:firstLine="7"/>
              <w:rPr>
                <w:rFonts w:ascii="Nunito" w:eastAsia="Nunito" w:hAnsi="Nunito" w:cs="Nunito"/>
                <w:sz w:val="21"/>
                <w:szCs w:val="21"/>
              </w:rPr>
            </w:pPr>
            <w:r>
              <w:rPr>
                <w:rFonts w:ascii="Nunito" w:eastAsia="Nunito" w:hAnsi="Nunito" w:cs="Nunito"/>
                <w:sz w:val="21"/>
                <w:szCs w:val="21"/>
              </w:rPr>
              <w:t xml:space="preserve">Pré-requis : Bilan, Seuil de rentabilité, Compte de résultat. </w:t>
            </w:r>
          </w:p>
          <w:p w:rsidR="009D28D1" w:rsidRDefault="007E0226">
            <w:pPr>
              <w:pStyle w:val="normal0"/>
              <w:widowControl w:val="0"/>
              <w:spacing w:line="242" w:lineRule="auto"/>
              <w:ind w:left="109" w:right="75" w:firstLine="7"/>
              <w:rPr>
                <w:rFonts w:ascii="Nunito" w:eastAsia="Nunito" w:hAnsi="Nunito" w:cs="Nunito"/>
                <w:sz w:val="21"/>
                <w:szCs w:val="21"/>
              </w:rPr>
            </w:pPr>
            <w:r>
              <w:rPr>
                <w:rFonts w:ascii="Nunito" w:eastAsia="Nunito" w:hAnsi="Nunito" w:cs="Nunito"/>
                <w:sz w:val="21"/>
                <w:szCs w:val="21"/>
              </w:rPr>
              <w:t>Durée : Maximum 2 heures</w:t>
            </w:r>
          </w:p>
          <w:p w:rsidR="009D28D1" w:rsidRDefault="007E0226">
            <w:pPr>
              <w:pStyle w:val="normal0"/>
              <w:widowControl w:val="0"/>
              <w:spacing w:line="242" w:lineRule="auto"/>
              <w:ind w:left="109" w:right="75" w:firstLine="7"/>
              <w:rPr>
                <w:rFonts w:ascii="Nunito" w:eastAsia="Nunito" w:hAnsi="Nunito" w:cs="Nunito"/>
                <w:sz w:val="21"/>
                <w:szCs w:val="21"/>
              </w:rPr>
            </w:pPr>
            <w:r>
              <w:rPr>
                <w:rFonts w:ascii="Nunito" w:eastAsia="Nunito" w:hAnsi="Nunito" w:cs="Nunito"/>
                <w:sz w:val="21"/>
                <w:szCs w:val="21"/>
              </w:rPr>
              <w:t>Déroulement : Après avoir préparé les équipes, le professeur distribue le scénario, présente les objectifs et le dossier d’accompagnement élève.</w:t>
            </w:r>
          </w:p>
          <w:p w:rsidR="009D28D1" w:rsidRDefault="007E0226">
            <w:pPr>
              <w:pStyle w:val="normal0"/>
              <w:widowControl w:val="0"/>
              <w:spacing w:line="242" w:lineRule="auto"/>
              <w:ind w:left="109" w:right="75" w:firstLine="7"/>
              <w:rPr>
                <w:rFonts w:ascii="Nunito" w:eastAsia="Nunito" w:hAnsi="Nunito" w:cs="Nunito"/>
                <w:sz w:val="21"/>
                <w:szCs w:val="21"/>
              </w:rPr>
            </w:pPr>
            <w:r>
              <w:rPr>
                <w:rFonts w:ascii="Nunito" w:eastAsia="Nunito" w:hAnsi="Nunito" w:cs="Nunito"/>
                <w:sz w:val="21"/>
                <w:szCs w:val="21"/>
              </w:rPr>
              <w:t xml:space="preserve">Les élèves disposent d’un lien d’accès au jeu. </w:t>
            </w:r>
          </w:p>
          <w:p w:rsidR="009D28D1" w:rsidRDefault="007E0226">
            <w:pPr>
              <w:pStyle w:val="normal0"/>
              <w:widowControl w:val="0"/>
              <w:spacing w:line="242" w:lineRule="auto"/>
              <w:ind w:left="109" w:right="75" w:firstLine="7"/>
              <w:rPr>
                <w:rFonts w:ascii="Nunito" w:eastAsia="Nunito" w:hAnsi="Nunito" w:cs="Nunito"/>
                <w:sz w:val="21"/>
                <w:szCs w:val="21"/>
              </w:rPr>
            </w:pPr>
            <w:r>
              <w:rPr>
                <w:rFonts w:ascii="Nunito" w:eastAsia="Nunito" w:hAnsi="Nunito" w:cs="Nunito"/>
                <w:sz w:val="21"/>
                <w:szCs w:val="21"/>
              </w:rPr>
              <w:t xml:space="preserve">Des indices peuvent être donnés aux élèves en cas de difficultés.  proposés dans la feuille de solutions </w:t>
            </w:r>
          </w:p>
          <w:p w:rsidR="009D28D1" w:rsidRDefault="007E0226">
            <w:pPr>
              <w:pStyle w:val="normal0"/>
              <w:widowControl w:val="0"/>
              <w:spacing w:line="242" w:lineRule="auto"/>
              <w:ind w:right="75"/>
              <w:rPr>
                <w:rFonts w:ascii="Nunito" w:eastAsia="Nunito" w:hAnsi="Nunito" w:cs="Nunito"/>
                <w:sz w:val="21"/>
                <w:szCs w:val="21"/>
              </w:rPr>
            </w:pPr>
            <w:r>
              <w:rPr>
                <w:rFonts w:ascii="Nunito" w:eastAsia="Nunito" w:hAnsi="Nunito" w:cs="Nunito"/>
                <w:sz w:val="21"/>
                <w:szCs w:val="21"/>
              </w:rPr>
              <w:t xml:space="preserve">Il est possible de donner accès à la classe au suivi de la progression des équipes au fil du jeu </w:t>
            </w:r>
          </w:p>
          <w:p w:rsidR="009D28D1" w:rsidRDefault="007E0226">
            <w:pPr>
              <w:pStyle w:val="normal0"/>
              <w:widowControl w:val="0"/>
              <w:spacing w:line="242" w:lineRule="auto"/>
              <w:ind w:right="75"/>
              <w:rPr>
                <w:rFonts w:ascii="Nunito" w:eastAsia="Nunito" w:hAnsi="Nunito" w:cs="Nunito"/>
                <w:sz w:val="21"/>
                <w:szCs w:val="21"/>
              </w:rPr>
            </w:pPr>
            <w:r>
              <w:rPr>
                <w:rFonts w:ascii="Nunito" w:eastAsia="Nunito" w:hAnsi="Nunito" w:cs="Nunito"/>
                <w:sz w:val="21"/>
                <w:szCs w:val="21"/>
              </w:rPr>
              <w:t xml:space="preserve">Le professeur fait un bilan de l'activité </w:t>
            </w:r>
          </w:p>
        </w:tc>
      </w:tr>
      <w:tr w:rsidR="009D28D1" w:rsidRPr="007E0226" w:rsidTr="007E0226">
        <w:trPr>
          <w:trHeight w:val="1501"/>
        </w:trPr>
        <w:tc>
          <w:tcPr>
            <w:tcW w:w="2227" w:type="dxa"/>
            <w:shd w:val="clear" w:color="auto" w:fill="auto"/>
            <w:tcMar>
              <w:top w:w="100" w:type="dxa"/>
              <w:left w:w="100" w:type="dxa"/>
              <w:bottom w:w="100" w:type="dxa"/>
              <w:right w:w="100" w:type="dxa"/>
            </w:tcMar>
          </w:tcPr>
          <w:p w:rsidR="009D28D1" w:rsidRDefault="007E0226">
            <w:pPr>
              <w:pStyle w:val="normal0"/>
              <w:widowControl w:val="0"/>
              <w:pBdr>
                <w:top w:val="nil"/>
                <w:left w:val="nil"/>
                <w:bottom w:val="nil"/>
                <w:right w:val="nil"/>
                <w:between w:val="nil"/>
              </w:pBdr>
              <w:spacing w:line="240" w:lineRule="auto"/>
              <w:ind w:left="116"/>
              <w:rPr>
                <w:rFonts w:ascii="Nunito" w:eastAsia="Nunito" w:hAnsi="Nunito" w:cs="Nunito"/>
                <w:color w:val="000000"/>
                <w:sz w:val="24"/>
                <w:szCs w:val="24"/>
              </w:rPr>
            </w:pPr>
            <w:r>
              <w:rPr>
                <w:rFonts w:ascii="Nunito" w:eastAsia="Nunito" w:hAnsi="Nunito" w:cs="Nunito"/>
                <w:color w:val="000000"/>
                <w:sz w:val="24"/>
                <w:szCs w:val="24"/>
              </w:rPr>
              <w:t xml:space="preserve">Outils numériques </w:t>
            </w:r>
          </w:p>
          <w:p w:rsidR="009D28D1" w:rsidRDefault="007E0226">
            <w:pPr>
              <w:pStyle w:val="normal0"/>
              <w:widowControl w:val="0"/>
              <w:pBdr>
                <w:top w:val="nil"/>
                <w:left w:val="nil"/>
                <w:bottom w:val="nil"/>
                <w:right w:val="nil"/>
                <w:between w:val="nil"/>
              </w:pBdr>
              <w:spacing w:before="4" w:line="237" w:lineRule="auto"/>
              <w:ind w:left="112" w:right="191" w:firstLine="6"/>
              <w:rPr>
                <w:rFonts w:ascii="Nunito" w:eastAsia="Nunito" w:hAnsi="Nunito" w:cs="Nunito"/>
                <w:color w:val="000000"/>
                <w:sz w:val="24"/>
                <w:szCs w:val="24"/>
              </w:rPr>
            </w:pPr>
            <w:r>
              <w:rPr>
                <w:rFonts w:ascii="Nunito" w:eastAsia="Nunito" w:hAnsi="Nunito" w:cs="Nunito"/>
                <w:color w:val="000000"/>
                <w:sz w:val="24"/>
                <w:szCs w:val="24"/>
              </w:rPr>
              <w:t xml:space="preserve">utilisés pour concevoir cette activité </w:t>
            </w:r>
          </w:p>
          <w:p w:rsidR="009D28D1" w:rsidRDefault="007E0226">
            <w:pPr>
              <w:pStyle w:val="normal0"/>
              <w:widowControl w:val="0"/>
              <w:pBdr>
                <w:top w:val="nil"/>
                <w:left w:val="nil"/>
                <w:bottom w:val="nil"/>
                <w:right w:val="nil"/>
                <w:between w:val="nil"/>
              </w:pBdr>
              <w:spacing w:before="7" w:line="240" w:lineRule="auto"/>
              <w:ind w:left="119"/>
              <w:rPr>
                <w:rFonts w:ascii="Nunito" w:eastAsia="Nunito" w:hAnsi="Nunito" w:cs="Nunito"/>
                <w:color w:val="000000"/>
                <w:sz w:val="24"/>
                <w:szCs w:val="24"/>
              </w:rPr>
            </w:pPr>
            <w:r>
              <w:rPr>
                <w:rFonts w:ascii="Nunito" w:eastAsia="Nunito" w:hAnsi="Nunito" w:cs="Nunito"/>
                <w:color w:val="000000"/>
                <w:sz w:val="24"/>
                <w:szCs w:val="24"/>
              </w:rPr>
              <w:t>pédagogique</w:t>
            </w:r>
          </w:p>
        </w:tc>
        <w:tc>
          <w:tcPr>
            <w:tcW w:w="8594" w:type="dxa"/>
            <w:gridSpan w:val="3"/>
            <w:shd w:val="clear" w:color="auto" w:fill="auto"/>
            <w:tcMar>
              <w:top w:w="100" w:type="dxa"/>
              <w:left w:w="100" w:type="dxa"/>
              <w:bottom w:w="100" w:type="dxa"/>
              <w:right w:w="100" w:type="dxa"/>
            </w:tcMar>
          </w:tcPr>
          <w:p w:rsidR="009D28D1" w:rsidRPr="007E0226" w:rsidRDefault="007E0226">
            <w:pPr>
              <w:pStyle w:val="normal0"/>
              <w:widowControl w:val="0"/>
              <w:spacing w:line="240" w:lineRule="auto"/>
              <w:ind w:left="120"/>
              <w:rPr>
                <w:rFonts w:ascii="Nunito" w:eastAsia="Nunito" w:hAnsi="Nunito" w:cs="Nunito"/>
                <w:sz w:val="21"/>
                <w:szCs w:val="21"/>
                <w:lang w:val="en-US"/>
              </w:rPr>
            </w:pPr>
            <w:r w:rsidRPr="007E0226">
              <w:rPr>
                <w:rFonts w:ascii="Nunito" w:eastAsia="Nunito" w:hAnsi="Nunito" w:cs="Nunito"/>
                <w:sz w:val="21"/>
                <w:szCs w:val="21"/>
                <w:lang w:val="en-US"/>
              </w:rPr>
              <w:t>Genially</w:t>
            </w:r>
          </w:p>
          <w:p w:rsidR="009D28D1" w:rsidRPr="007E0226" w:rsidRDefault="007E0226">
            <w:pPr>
              <w:pStyle w:val="normal0"/>
              <w:widowControl w:val="0"/>
              <w:spacing w:line="240" w:lineRule="auto"/>
              <w:ind w:left="120"/>
              <w:rPr>
                <w:rFonts w:ascii="Nunito" w:eastAsia="Nunito" w:hAnsi="Nunito" w:cs="Nunito"/>
                <w:sz w:val="21"/>
                <w:szCs w:val="21"/>
                <w:lang w:val="en-US"/>
              </w:rPr>
            </w:pPr>
            <w:proofErr w:type="spellStart"/>
            <w:r w:rsidRPr="007E0226">
              <w:rPr>
                <w:rFonts w:ascii="Nunito" w:eastAsia="Nunito" w:hAnsi="Nunito" w:cs="Nunito"/>
                <w:sz w:val="21"/>
                <w:szCs w:val="21"/>
                <w:lang w:val="en-US"/>
              </w:rPr>
              <w:t>Padlet</w:t>
            </w:r>
            <w:proofErr w:type="spellEnd"/>
          </w:p>
          <w:p w:rsidR="009D28D1" w:rsidRPr="007E0226" w:rsidRDefault="007E0226">
            <w:pPr>
              <w:pStyle w:val="normal0"/>
              <w:widowControl w:val="0"/>
              <w:spacing w:line="240" w:lineRule="auto"/>
              <w:ind w:left="120"/>
              <w:rPr>
                <w:rFonts w:ascii="Nunito" w:eastAsia="Nunito" w:hAnsi="Nunito" w:cs="Nunito"/>
                <w:sz w:val="21"/>
                <w:szCs w:val="21"/>
                <w:lang w:val="en-US"/>
              </w:rPr>
            </w:pPr>
            <w:proofErr w:type="spellStart"/>
            <w:r w:rsidRPr="007E0226">
              <w:rPr>
                <w:rFonts w:ascii="Nunito" w:eastAsia="Nunito" w:hAnsi="Nunito" w:cs="Nunito"/>
                <w:sz w:val="21"/>
                <w:szCs w:val="21"/>
                <w:lang w:val="en-US"/>
              </w:rPr>
              <w:t>Tableur</w:t>
            </w:r>
            <w:proofErr w:type="spellEnd"/>
          </w:p>
          <w:p w:rsidR="009D28D1" w:rsidRPr="007E0226" w:rsidRDefault="007E0226">
            <w:pPr>
              <w:pStyle w:val="normal0"/>
              <w:widowControl w:val="0"/>
              <w:spacing w:line="240" w:lineRule="auto"/>
              <w:ind w:left="120"/>
              <w:rPr>
                <w:rFonts w:ascii="Nunito" w:eastAsia="Nunito" w:hAnsi="Nunito" w:cs="Nunito"/>
                <w:sz w:val="21"/>
                <w:szCs w:val="21"/>
                <w:lang w:val="en-US"/>
              </w:rPr>
            </w:pPr>
            <w:r w:rsidRPr="007E0226">
              <w:rPr>
                <w:rFonts w:ascii="Nunito" w:eastAsia="Nunito" w:hAnsi="Nunito" w:cs="Nunito"/>
                <w:sz w:val="21"/>
                <w:szCs w:val="21"/>
                <w:lang w:val="en-US"/>
              </w:rPr>
              <w:t>Learning Apps</w:t>
            </w:r>
          </w:p>
        </w:tc>
      </w:tr>
    </w:tbl>
    <w:p w:rsidR="009D28D1" w:rsidRDefault="007E0226">
      <w:pPr>
        <w:pStyle w:val="normal0"/>
        <w:widowControl w:val="0"/>
        <w:pBdr>
          <w:top w:val="nil"/>
          <w:left w:val="nil"/>
          <w:bottom w:val="nil"/>
          <w:right w:val="nil"/>
          <w:between w:val="nil"/>
        </w:pBdr>
        <w:spacing w:line="240" w:lineRule="auto"/>
        <w:jc w:val="center"/>
        <w:rPr>
          <w:rFonts w:ascii="Nunito" w:eastAsia="Nunito" w:hAnsi="Nunito" w:cs="Nunito"/>
          <w:i/>
          <w:color w:val="000000"/>
        </w:rPr>
      </w:pPr>
      <w:r>
        <w:rPr>
          <w:rFonts w:ascii="Nunito" w:eastAsia="Nunito" w:hAnsi="Nunito" w:cs="Nunito"/>
          <w:i/>
          <w:color w:val="000000"/>
        </w:rPr>
        <w:t xml:space="preserve">Fiche pédagogique élaborée par </w:t>
      </w:r>
      <w:r>
        <w:rPr>
          <w:rFonts w:ascii="Nunito" w:eastAsia="Nunito" w:hAnsi="Nunito" w:cs="Nunito"/>
          <w:i/>
        </w:rPr>
        <w:t>Gwenaëlle Cavalier, Romain Parisot (stagiaires M2) encadrés par Myriam Dupont (enseignante en Economie-Gestion)</w:t>
      </w:r>
    </w:p>
    <w:sectPr w:rsidR="009D28D1" w:rsidSect="007E0226">
      <w:pgSz w:w="11920" w:h="16860"/>
      <w:pgMar w:top="567" w:right="567" w:bottom="567" w:left="56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9D28D1"/>
    <w:rsid w:val="007E0226"/>
    <w:rsid w:val="009D28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9D28D1"/>
    <w:pPr>
      <w:keepNext/>
      <w:keepLines/>
      <w:spacing w:before="480" w:after="120"/>
      <w:outlineLvl w:val="0"/>
    </w:pPr>
    <w:rPr>
      <w:b/>
      <w:sz w:val="48"/>
      <w:szCs w:val="48"/>
    </w:rPr>
  </w:style>
  <w:style w:type="paragraph" w:styleId="Titre2">
    <w:name w:val="heading 2"/>
    <w:basedOn w:val="normal0"/>
    <w:next w:val="normal0"/>
    <w:rsid w:val="009D28D1"/>
    <w:pPr>
      <w:keepNext/>
      <w:keepLines/>
      <w:spacing w:before="360" w:after="80"/>
      <w:outlineLvl w:val="1"/>
    </w:pPr>
    <w:rPr>
      <w:b/>
      <w:sz w:val="36"/>
      <w:szCs w:val="36"/>
    </w:rPr>
  </w:style>
  <w:style w:type="paragraph" w:styleId="Titre3">
    <w:name w:val="heading 3"/>
    <w:basedOn w:val="normal0"/>
    <w:next w:val="normal0"/>
    <w:rsid w:val="009D28D1"/>
    <w:pPr>
      <w:keepNext/>
      <w:keepLines/>
      <w:spacing w:before="280" w:after="80"/>
      <w:outlineLvl w:val="2"/>
    </w:pPr>
    <w:rPr>
      <w:b/>
      <w:sz w:val="28"/>
      <w:szCs w:val="28"/>
    </w:rPr>
  </w:style>
  <w:style w:type="paragraph" w:styleId="Titre4">
    <w:name w:val="heading 4"/>
    <w:basedOn w:val="normal0"/>
    <w:next w:val="normal0"/>
    <w:rsid w:val="009D28D1"/>
    <w:pPr>
      <w:keepNext/>
      <w:keepLines/>
      <w:spacing w:before="240" w:after="40"/>
      <w:outlineLvl w:val="3"/>
    </w:pPr>
    <w:rPr>
      <w:b/>
      <w:sz w:val="24"/>
      <w:szCs w:val="24"/>
    </w:rPr>
  </w:style>
  <w:style w:type="paragraph" w:styleId="Titre5">
    <w:name w:val="heading 5"/>
    <w:basedOn w:val="normal0"/>
    <w:next w:val="normal0"/>
    <w:rsid w:val="009D28D1"/>
    <w:pPr>
      <w:keepNext/>
      <w:keepLines/>
      <w:spacing w:before="220" w:after="40"/>
      <w:outlineLvl w:val="4"/>
    </w:pPr>
    <w:rPr>
      <w:b/>
    </w:rPr>
  </w:style>
  <w:style w:type="paragraph" w:styleId="Titre6">
    <w:name w:val="heading 6"/>
    <w:basedOn w:val="normal0"/>
    <w:next w:val="normal0"/>
    <w:rsid w:val="009D28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D28D1"/>
  </w:style>
  <w:style w:type="table" w:customStyle="1" w:styleId="TableNormal">
    <w:name w:val="Table Normal"/>
    <w:rsid w:val="009D28D1"/>
    <w:tblPr>
      <w:tblCellMar>
        <w:top w:w="0" w:type="dxa"/>
        <w:left w:w="0" w:type="dxa"/>
        <w:bottom w:w="0" w:type="dxa"/>
        <w:right w:w="0" w:type="dxa"/>
      </w:tblCellMar>
    </w:tblPr>
  </w:style>
  <w:style w:type="paragraph" w:styleId="Titre">
    <w:name w:val="Title"/>
    <w:basedOn w:val="normal0"/>
    <w:next w:val="normal0"/>
    <w:rsid w:val="009D28D1"/>
    <w:pPr>
      <w:keepNext/>
      <w:keepLines/>
      <w:spacing w:before="480" w:after="120"/>
    </w:pPr>
    <w:rPr>
      <w:b/>
      <w:sz w:val="72"/>
      <w:szCs w:val="72"/>
    </w:rPr>
  </w:style>
  <w:style w:type="paragraph" w:styleId="Sous-titre">
    <w:name w:val="Subtitle"/>
    <w:basedOn w:val="normal0"/>
    <w:next w:val="normal0"/>
    <w:rsid w:val="009D28D1"/>
    <w:pPr>
      <w:keepNext/>
      <w:keepLines/>
      <w:spacing w:before="360" w:after="80"/>
    </w:pPr>
    <w:rPr>
      <w:rFonts w:ascii="Georgia" w:eastAsia="Georgia" w:hAnsi="Georgia" w:cs="Georgia"/>
      <w:i/>
      <w:color w:val="666666"/>
      <w:sz w:val="48"/>
      <w:szCs w:val="48"/>
    </w:rPr>
  </w:style>
  <w:style w:type="table" w:customStyle="1" w:styleId="a">
    <w:basedOn w:val="TableNormal"/>
    <w:rsid w:val="009D28D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2163</Characters>
  <Application>Microsoft Office Word</Application>
  <DocSecurity>0</DocSecurity>
  <Lines>18</Lines>
  <Paragraphs>5</Paragraphs>
  <ScaleCrop>false</ScaleCrop>
  <Company>CITE SCOLAIRE LOUIS PERGAUD</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et Bruno</cp:lastModifiedBy>
  <cp:revision>2</cp:revision>
  <dcterms:created xsi:type="dcterms:W3CDTF">2022-06-13T13:26:00Z</dcterms:created>
  <dcterms:modified xsi:type="dcterms:W3CDTF">2022-06-13T13:30:00Z</dcterms:modified>
</cp:coreProperties>
</file>